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372E3" w14:textId="77777777" w:rsidR="00B712B6" w:rsidRDefault="00B712B6" w:rsidP="00B712B6">
      <w:pPr>
        <w:jc w:val="center"/>
        <w:rPr>
          <w:b/>
          <w:bCs/>
          <w:sz w:val="72"/>
          <w:szCs w:val="72"/>
        </w:rPr>
      </w:pPr>
      <w:r>
        <w:rPr>
          <w:b/>
          <w:bCs/>
          <w:noProof/>
          <w:sz w:val="72"/>
          <w:szCs w:val="72"/>
          <w:lang w:val="sk-SK"/>
        </w:rPr>
        <w:drawing>
          <wp:anchor distT="0" distB="0" distL="114300" distR="114300" simplePos="0" relativeHeight="251661312" behindDoc="1" locked="0" layoutInCell="1" allowOverlap="1" wp14:anchorId="35108ED7" wp14:editId="5744AD7D">
            <wp:simplePos x="0" y="0"/>
            <wp:positionH relativeFrom="column">
              <wp:posOffset>309245</wp:posOffset>
            </wp:positionH>
            <wp:positionV relativeFrom="paragraph">
              <wp:posOffset>753110</wp:posOffset>
            </wp:positionV>
            <wp:extent cx="5467350" cy="5695950"/>
            <wp:effectExtent l="0" t="0" r="0" b="0"/>
            <wp:wrapNone/>
            <wp:docPr id="3" name="Obrázok 3" descr="C:\Users\Internet\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et\Desktop\Bez názvu.pn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67350" cy="569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B5246" w14:textId="77777777" w:rsidR="00B712B6" w:rsidRDefault="00B712B6" w:rsidP="00B712B6">
      <w:pPr>
        <w:jc w:val="center"/>
        <w:rPr>
          <w:b/>
          <w:bCs/>
          <w:sz w:val="72"/>
          <w:szCs w:val="72"/>
        </w:rPr>
      </w:pPr>
    </w:p>
    <w:p w14:paraId="552FF8CE" w14:textId="77777777" w:rsidR="00B712B6" w:rsidRPr="001F5897" w:rsidRDefault="00B712B6" w:rsidP="00B712B6">
      <w:pPr>
        <w:jc w:val="center"/>
        <w:rPr>
          <w:b/>
          <w:bCs/>
          <w:sz w:val="72"/>
          <w:szCs w:val="72"/>
        </w:rPr>
      </w:pPr>
    </w:p>
    <w:p w14:paraId="2C68EB93" w14:textId="77777777" w:rsidR="00B712B6" w:rsidRPr="001F5897" w:rsidRDefault="00B712B6" w:rsidP="00B712B6">
      <w:pPr>
        <w:jc w:val="center"/>
        <w:rPr>
          <w:b/>
          <w:bCs/>
          <w:sz w:val="72"/>
          <w:szCs w:val="72"/>
        </w:rPr>
      </w:pPr>
    </w:p>
    <w:p w14:paraId="50224017" w14:textId="77777777" w:rsidR="00B712B6" w:rsidRPr="001F5897" w:rsidRDefault="00B712B6" w:rsidP="00B712B6">
      <w:pPr>
        <w:jc w:val="center"/>
        <w:rPr>
          <w:b/>
          <w:bCs/>
          <w:sz w:val="72"/>
          <w:szCs w:val="72"/>
        </w:rPr>
      </w:pPr>
    </w:p>
    <w:p w14:paraId="4D019C74" w14:textId="77777777" w:rsidR="00B712B6" w:rsidRPr="001F5897" w:rsidRDefault="00B712B6" w:rsidP="00B712B6">
      <w:pPr>
        <w:jc w:val="center"/>
        <w:rPr>
          <w:b/>
          <w:bCs/>
          <w:sz w:val="72"/>
          <w:szCs w:val="72"/>
        </w:rPr>
      </w:pPr>
      <w:r w:rsidRPr="001F5897">
        <w:rPr>
          <w:b/>
          <w:bCs/>
          <w:sz w:val="72"/>
          <w:szCs w:val="72"/>
        </w:rPr>
        <w:t>Annual Report</w:t>
      </w:r>
    </w:p>
    <w:p w14:paraId="51DBEFC5" w14:textId="77777777" w:rsidR="00B712B6" w:rsidRPr="001F5897" w:rsidRDefault="00B712B6" w:rsidP="00B712B6">
      <w:pPr>
        <w:jc w:val="center"/>
        <w:rPr>
          <w:b/>
          <w:bCs/>
          <w:sz w:val="72"/>
          <w:szCs w:val="72"/>
        </w:rPr>
      </w:pPr>
    </w:p>
    <w:p w14:paraId="7D8A4C67" w14:textId="77777777" w:rsidR="00B712B6" w:rsidRPr="001F5897" w:rsidRDefault="00B712B6" w:rsidP="00B712B6">
      <w:pPr>
        <w:spacing w:line="276" w:lineRule="auto"/>
        <w:jc w:val="center"/>
        <w:rPr>
          <w:b/>
          <w:bCs/>
          <w:sz w:val="52"/>
          <w:szCs w:val="52"/>
        </w:rPr>
      </w:pPr>
      <w:r w:rsidRPr="001F5897">
        <w:rPr>
          <w:b/>
          <w:bCs/>
          <w:sz w:val="52"/>
          <w:szCs w:val="52"/>
        </w:rPr>
        <w:t xml:space="preserve">Financial Intelligence Unit </w:t>
      </w:r>
    </w:p>
    <w:p w14:paraId="3DA20494" w14:textId="77777777" w:rsidR="00B712B6" w:rsidRPr="001F5897" w:rsidRDefault="00B712B6" w:rsidP="00B712B6">
      <w:pPr>
        <w:spacing w:line="276" w:lineRule="auto"/>
        <w:jc w:val="center"/>
        <w:rPr>
          <w:b/>
          <w:bCs/>
          <w:sz w:val="52"/>
          <w:szCs w:val="52"/>
        </w:rPr>
      </w:pPr>
      <w:proofErr w:type="gramStart"/>
      <w:r w:rsidRPr="001F5897">
        <w:rPr>
          <w:b/>
          <w:bCs/>
          <w:sz w:val="52"/>
          <w:szCs w:val="52"/>
        </w:rPr>
        <w:t>of</w:t>
      </w:r>
      <w:proofErr w:type="gramEnd"/>
      <w:r w:rsidRPr="001F5897">
        <w:rPr>
          <w:b/>
          <w:bCs/>
          <w:sz w:val="52"/>
          <w:szCs w:val="52"/>
        </w:rPr>
        <w:t xml:space="preserve"> the Slovak Republic</w:t>
      </w:r>
    </w:p>
    <w:p w14:paraId="0B9670AB" w14:textId="77777777" w:rsidR="00B712B6" w:rsidRPr="001F5897" w:rsidRDefault="00B712B6" w:rsidP="00B712B6">
      <w:pPr>
        <w:spacing w:line="276" w:lineRule="auto"/>
        <w:jc w:val="center"/>
        <w:rPr>
          <w:b/>
          <w:bCs/>
          <w:sz w:val="56"/>
          <w:szCs w:val="56"/>
        </w:rPr>
      </w:pPr>
    </w:p>
    <w:p w14:paraId="256D0DDD" w14:textId="77777777" w:rsidR="00B712B6" w:rsidRPr="001F5897" w:rsidRDefault="00B712B6" w:rsidP="00B712B6">
      <w:pPr>
        <w:spacing w:line="276" w:lineRule="auto"/>
        <w:jc w:val="center"/>
        <w:rPr>
          <w:bCs/>
          <w:sz w:val="24"/>
          <w:szCs w:val="24"/>
        </w:rPr>
      </w:pPr>
      <w:r w:rsidRPr="001F5897">
        <w:rPr>
          <w:b/>
          <w:bCs/>
          <w:sz w:val="56"/>
          <w:szCs w:val="56"/>
        </w:rPr>
        <w:t>2014</w:t>
      </w:r>
    </w:p>
    <w:p w14:paraId="63B9A489" w14:textId="77777777" w:rsidR="00B712B6" w:rsidRPr="001F5897" w:rsidRDefault="00B712B6" w:rsidP="00B712B6">
      <w:pPr>
        <w:tabs>
          <w:tab w:val="center" w:pos="851"/>
          <w:tab w:val="center" w:pos="7513"/>
        </w:tabs>
        <w:spacing w:after="160" w:line="259" w:lineRule="auto"/>
        <w:jc w:val="left"/>
        <w:rPr>
          <w:b/>
          <w:sz w:val="28"/>
          <w:szCs w:val="28"/>
        </w:rPr>
        <w:sectPr w:rsidR="00B712B6" w:rsidRPr="001F5897" w:rsidSect="00D21CC6">
          <w:footerReference w:type="default" r:id="rId11"/>
          <w:headerReference w:type="first" r:id="rId12"/>
          <w:footerReference w:type="first" r:id="rId13"/>
          <w:pgSz w:w="11906" w:h="16838" w:code="9"/>
          <w:pgMar w:top="1418" w:right="1418" w:bottom="1134" w:left="1418" w:header="709" w:footer="709" w:gutter="0"/>
          <w:cols w:space="708"/>
          <w:vAlign w:val="center"/>
          <w:titlePg/>
          <w:docGrid w:linePitch="360"/>
        </w:sectPr>
      </w:pPr>
    </w:p>
    <w:p w14:paraId="63EA0006" w14:textId="77777777" w:rsidR="00B712B6" w:rsidRPr="001F5897" w:rsidRDefault="00C971C1" w:rsidP="00B712B6">
      <w:pPr>
        <w:pStyle w:val="Nzovkapitoly"/>
        <w:rPr>
          <w:sz w:val="32"/>
          <w:szCs w:val="32"/>
        </w:rPr>
      </w:pPr>
      <w:r w:rsidRPr="001F5897">
        <w:rPr>
          <w:sz w:val="32"/>
          <w:szCs w:val="32"/>
        </w:rPr>
        <w:lastRenderedPageBreak/>
        <w:t>TABLE OF CONTENTS</w:t>
      </w:r>
    </w:p>
    <w:p w14:paraId="230FC15F" w14:textId="77777777" w:rsidR="00B712B6" w:rsidRPr="001F5897" w:rsidRDefault="00B712B6" w:rsidP="00857DD3">
      <w:pPr>
        <w:pStyle w:val="Obsah1"/>
        <w:spacing w:after="0" w:line="480" w:lineRule="auto"/>
        <w:rPr>
          <w:rFonts w:asciiTheme="minorHAnsi" w:eastAsiaTheme="minorEastAsia" w:hAnsiTheme="minorHAnsi" w:cstheme="minorBidi"/>
          <w:b w:val="0"/>
          <w:szCs w:val="24"/>
        </w:rPr>
      </w:pPr>
      <w:r w:rsidRPr="001F5897">
        <w:rPr>
          <w:szCs w:val="24"/>
        </w:rPr>
        <w:fldChar w:fldCharType="begin"/>
      </w:r>
      <w:r w:rsidRPr="001F5897">
        <w:rPr>
          <w:szCs w:val="24"/>
        </w:rPr>
        <w:instrText xml:space="preserve"> TOC \h \z \t "Názov kapitoly;1;Podnadpis;2" </w:instrText>
      </w:r>
      <w:r w:rsidRPr="001F5897">
        <w:rPr>
          <w:szCs w:val="24"/>
        </w:rPr>
        <w:fldChar w:fldCharType="separate"/>
      </w:r>
    </w:p>
    <w:p w14:paraId="31084665" w14:textId="77777777" w:rsidR="00AC577A" w:rsidRPr="00AC577A" w:rsidRDefault="00B712B6" w:rsidP="00AC577A">
      <w:pPr>
        <w:tabs>
          <w:tab w:val="right" w:leader="dot" w:pos="9072"/>
        </w:tabs>
        <w:spacing w:line="480" w:lineRule="auto"/>
        <w:jc w:val="left"/>
        <w:rPr>
          <w:b/>
          <w:sz w:val="24"/>
          <w:szCs w:val="24"/>
        </w:rPr>
      </w:pPr>
      <w:r w:rsidRPr="001F5897">
        <w:rPr>
          <w:b/>
          <w:sz w:val="24"/>
          <w:szCs w:val="24"/>
        </w:rPr>
        <w:fldChar w:fldCharType="end"/>
      </w:r>
      <w:r w:rsidR="00AC577A" w:rsidRPr="00AC577A">
        <w:rPr>
          <w:b/>
          <w:sz w:val="24"/>
          <w:szCs w:val="24"/>
        </w:rPr>
        <w:t>Introductory word</w:t>
      </w:r>
      <w:r w:rsidR="00AC577A" w:rsidRPr="00AC577A">
        <w:rPr>
          <w:b/>
          <w:sz w:val="24"/>
          <w:szCs w:val="24"/>
        </w:rPr>
        <w:tab/>
        <w:t>3</w:t>
      </w:r>
    </w:p>
    <w:p w14:paraId="25816DE7" w14:textId="3156C62C" w:rsidR="00AC577A" w:rsidRPr="00AC577A" w:rsidRDefault="00AC577A" w:rsidP="00AC577A">
      <w:pPr>
        <w:tabs>
          <w:tab w:val="right" w:leader="dot" w:pos="9072"/>
        </w:tabs>
        <w:spacing w:line="480" w:lineRule="auto"/>
        <w:jc w:val="left"/>
        <w:rPr>
          <w:b/>
          <w:sz w:val="24"/>
          <w:szCs w:val="24"/>
        </w:rPr>
      </w:pPr>
      <w:r w:rsidRPr="00AC577A">
        <w:rPr>
          <w:b/>
          <w:sz w:val="24"/>
          <w:szCs w:val="24"/>
        </w:rPr>
        <w:t>1. Characteristic, legislative framework and organizational structure of FSJ</w:t>
      </w:r>
      <w:r>
        <w:rPr>
          <w:b/>
          <w:sz w:val="24"/>
          <w:szCs w:val="24"/>
        </w:rPr>
        <w:tab/>
        <w:t>4</w:t>
      </w:r>
    </w:p>
    <w:p w14:paraId="71620F41" w14:textId="75D432A8" w:rsidR="00AC577A" w:rsidRPr="00AC577A" w:rsidRDefault="00AC577A" w:rsidP="00AC577A">
      <w:pPr>
        <w:tabs>
          <w:tab w:val="right" w:leader="dot" w:pos="9072"/>
        </w:tabs>
        <w:spacing w:line="480" w:lineRule="auto"/>
        <w:jc w:val="left"/>
        <w:rPr>
          <w:b/>
          <w:sz w:val="24"/>
          <w:szCs w:val="24"/>
        </w:rPr>
      </w:pPr>
      <w:r w:rsidRPr="00AC577A">
        <w:rPr>
          <w:b/>
          <w:sz w:val="24"/>
          <w:szCs w:val="24"/>
        </w:rPr>
        <w:t xml:space="preserve">2. Unusual </w:t>
      </w:r>
      <w:r w:rsidR="00D27D22" w:rsidRPr="00AC577A">
        <w:rPr>
          <w:b/>
          <w:sz w:val="24"/>
          <w:szCs w:val="24"/>
        </w:rPr>
        <w:t>Transactions</w:t>
      </w:r>
      <w:r w:rsidRPr="00AC577A">
        <w:rPr>
          <w:b/>
          <w:sz w:val="24"/>
          <w:szCs w:val="24"/>
        </w:rPr>
        <w:tab/>
      </w:r>
      <w:r>
        <w:rPr>
          <w:b/>
          <w:sz w:val="24"/>
          <w:szCs w:val="24"/>
        </w:rPr>
        <w:t>5</w:t>
      </w:r>
    </w:p>
    <w:p w14:paraId="59F036BC" w14:textId="77777777" w:rsidR="00AC577A" w:rsidRPr="00AC577A" w:rsidRDefault="00AC577A" w:rsidP="00AC577A">
      <w:pPr>
        <w:tabs>
          <w:tab w:val="right" w:leader="dot" w:pos="9072"/>
        </w:tabs>
        <w:spacing w:line="480" w:lineRule="auto"/>
        <w:ind w:left="284"/>
        <w:jc w:val="left"/>
        <w:rPr>
          <w:sz w:val="24"/>
          <w:szCs w:val="24"/>
        </w:rPr>
      </w:pPr>
      <w:r w:rsidRPr="00AC577A">
        <w:rPr>
          <w:sz w:val="24"/>
          <w:szCs w:val="24"/>
        </w:rPr>
        <w:t>2.1 Composition of Obliged Entities and statistical data on UTRs</w:t>
      </w:r>
      <w:r w:rsidRPr="00AC577A">
        <w:rPr>
          <w:sz w:val="24"/>
          <w:szCs w:val="24"/>
        </w:rPr>
        <w:tab/>
        <w:t>5</w:t>
      </w:r>
    </w:p>
    <w:p w14:paraId="6F70A961" w14:textId="46201F6F" w:rsidR="00AC577A" w:rsidRPr="00AC577A" w:rsidRDefault="00AC577A" w:rsidP="00AC577A">
      <w:pPr>
        <w:tabs>
          <w:tab w:val="right" w:leader="dot" w:pos="9072"/>
        </w:tabs>
        <w:spacing w:line="480" w:lineRule="auto"/>
        <w:ind w:left="284"/>
        <w:jc w:val="left"/>
        <w:rPr>
          <w:sz w:val="24"/>
          <w:szCs w:val="24"/>
        </w:rPr>
      </w:pPr>
      <w:r w:rsidRPr="00AC577A">
        <w:rPr>
          <w:sz w:val="24"/>
          <w:szCs w:val="24"/>
        </w:rPr>
        <w:t>2.2 Postponement of UTRs</w:t>
      </w:r>
      <w:r w:rsidRPr="00AC577A">
        <w:rPr>
          <w:sz w:val="24"/>
          <w:szCs w:val="24"/>
        </w:rPr>
        <w:tab/>
      </w:r>
      <w:r>
        <w:rPr>
          <w:sz w:val="24"/>
          <w:szCs w:val="24"/>
        </w:rPr>
        <w:t>7</w:t>
      </w:r>
    </w:p>
    <w:p w14:paraId="501EDB55" w14:textId="5962CFF2" w:rsidR="00AC577A" w:rsidRPr="00AC577A" w:rsidRDefault="00AC577A" w:rsidP="00AC577A">
      <w:pPr>
        <w:tabs>
          <w:tab w:val="right" w:leader="dot" w:pos="9072"/>
        </w:tabs>
        <w:spacing w:line="480" w:lineRule="auto"/>
        <w:ind w:left="284"/>
        <w:jc w:val="left"/>
        <w:rPr>
          <w:sz w:val="24"/>
          <w:szCs w:val="24"/>
        </w:rPr>
      </w:pPr>
      <w:r w:rsidRPr="00AC577A">
        <w:rPr>
          <w:sz w:val="24"/>
          <w:szCs w:val="24"/>
        </w:rPr>
        <w:t>2.3 Types of recorded UTRs</w:t>
      </w:r>
      <w:r w:rsidRPr="00AC577A">
        <w:rPr>
          <w:sz w:val="24"/>
          <w:szCs w:val="24"/>
        </w:rPr>
        <w:tab/>
      </w:r>
      <w:r>
        <w:rPr>
          <w:sz w:val="24"/>
          <w:szCs w:val="24"/>
        </w:rPr>
        <w:t>8</w:t>
      </w:r>
    </w:p>
    <w:p w14:paraId="4AD137B3" w14:textId="77777777" w:rsidR="00AC577A" w:rsidRPr="00AC577A" w:rsidRDefault="00AC577A" w:rsidP="00AC577A">
      <w:pPr>
        <w:tabs>
          <w:tab w:val="right" w:leader="dot" w:pos="9072"/>
        </w:tabs>
        <w:spacing w:line="480" w:lineRule="auto"/>
        <w:ind w:left="284"/>
        <w:jc w:val="left"/>
        <w:rPr>
          <w:sz w:val="24"/>
          <w:szCs w:val="24"/>
        </w:rPr>
      </w:pPr>
      <w:r w:rsidRPr="00AC577A">
        <w:rPr>
          <w:sz w:val="24"/>
          <w:szCs w:val="24"/>
        </w:rPr>
        <w:t>2.4 Selected cases of processing of UTRs</w:t>
      </w:r>
      <w:r w:rsidRPr="00AC577A">
        <w:rPr>
          <w:sz w:val="24"/>
          <w:szCs w:val="24"/>
        </w:rPr>
        <w:tab/>
        <w:t>10</w:t>
      </w:r>
    </w:p>
    <w:p w14:paraId="5752B67A" w14:textId="75A96249" w:rsidR="00AC577A" w:rsidRPr="00AC577A" w:rsidRDefault="00AC577A" w:rsidP="00AC577A">
      <w:pPr>
        <w:tabs>
          <w:tab w:val="right" w:leader="dot" w:pos="9072"/>
        </w:tabs>
        <w:spacing w:line="480" w:lineRule="auto"/>
        <w:ind w:left="284"/>
        <w:jc w:val="left"/>
        <w:rPr>
          <w:sz w:val="24"/>
          <w:szCs w:val="24"/>
        </w:rPr>
      </w:pPr>
      <w:r w:rsidRPr="00AC577A">
        <w:rPr>
          <w:sz w:val="24"/>
          <w:szCs w:val="24"/>
        </w:rPr>
        <w:t xml:space="preserve">2.5 </w:t>
      </w:r>
      <w:r w:rsidR="00654302">
        <w:rPr>
          <w:sz w:val="24"/>
          <w:szCs w:val="24"/>
        </w:rPr>
        <w:t>The e</w:t>
      </w:r>
      <w:r w:rsidRPr="00AC577A">
        <w:rPr>
          <w:sz w:val="24"/>
          <w:szCs w:val="24"/>
        </w:rPr>
        <w:t>fficiency of UTRs</w:t>
      </w:r>
      <w:r w:rsidRPr="00AC577A">
        <w:rPr>
          <w:sz w:val="24"/>
          <w:szCs w:val="24"/>
        </w:rPr>
        <w:tab/>
        <w:t>11</w:t>
      </w:r>
    </w:p>
    <w:p w14:paraId="1B2F481B" w14:textId="5B714E5C" w:rsidR="00AC577A" w:rsidRPr="00AC577A" w:rsidRDefault="00AC577A" w:rsidP="00AC577A">
      <w:pPr>
        <w:tabs>
          <w:tab w:val="right" w:leader="dot" w:pos="9072"/>
        </w:tabs>
        <w:spacing w:line="480" w:lineRule="auto"/>
        <w:jc w:val="left"/>
        <w:rPr>
          <w:b/>
          <w:sz w:val="24"/>
          <w:szCs w:val="24"/>
        </w:rPr>
      </w:pPr>
      <w:r w:rsidRPr="00AC577A">
        <w:rPr>
          <w:b/>
          <w:sz w:val="24"/>
          <w:szCs w:val="24"/>
        </w:rPr>
        <w:t>3. Control activities</w:t>
      </w:r>
      <w:r w:rsidRPr="00AC577A">
        <w:rPr>
          <w:b/>
          <w:sz w:val="24"/>
          <w:szCs w:val="24"/>
        </w:rPr>
        <w:tab/>
        <w:t>1</w:t>
      </w:r>
      <w:r>
        <w:rPr>
          <w:b/>
          <w:sz w:val="24"/>
          <w:szCs w:val="24"/>
        </w:rPr>
        <w:t>6</w:t>
      </w:r>
    </w:p>
    <w:p w14:paraId="7FEDE8DB" w14:textId="77777777" w:rsidR="00AC577A" w:rsidRPr="00AC577A" w:rsidRDefault="00AC577A" w:rsidP="00AC577A">
      <w:pPr>
        <w:tabs>
          <w:tab w:val="right" w:leader="dot" w:pos="9072"/>
        </w:tabs>
        <w:spacing w:line="480" w:lineRule="auto"/>
        <w:jc w:val="left"/>
        <w:rPr>
          <w:b/>
          <w:sz w:val="24"/>
          <w:szCs w:val="24"/>
        </w:rPr>
      </w:pPr>
      <w:r w:rsidRPr="00AC577A">
        <w:rPr>
          <w:b/>
          <w:sz w:val="24"/>
          <w:szCs w:val="24"/>
        </w:rPr>
        <w:t>4. International Cooperation</w:t>
      </w:r>
      <w:r w:rsidRPr="00AC577A">
        <w:rPr>
          <w:b/>
          <w:sz w:val="24"/>
          <w:szCs w:val="24"/>
        </w:rPr>
        <w:tab/>
        <w:t>20</w:t>
      </w:r>
    </w:p>
    <w:p w14:paraId="650B0A79" w14:textId="77777777" w:rsidR="00AC577A" w:rsidRPr="00AC577A" w:rsidRDefault="00AC577A" w:rsidP="00AC577A">
      <w:pPr>
        <w:tabs>
          <w:tab w:val="right" w:leader="dot" w:pos="9072"/>
        </w:tabs>
        <w:spacing w:line="480" w:lineRule="auto"/>
        <w:jc w:val="left"/>
        <w:rPr>
          <w:b/>
          <w:sz w:val="24"/>
          <w:szCs w:val="24"/>
        </w:rPr>
      </w:pPr>
      <w:r w:rsidRPr="00AC577A">
        <w:rPr>
          <w:b/>
          <w:sz w:val="24"/>
          <w:szCs w:val="24"/>
        </w:rPr>
        <w:t>5. Financial and property verification</w:t>
      </w:r>
      <w:r w:rsidRPr="00AC577A">
        <w:rPr>
          <w:b/>
          <w:sz w:val="24"/>
          <w:szCs w:val="24"/>
        </w:rPr>
        <w:tab/>
        <w:t>24</w:t>
      </w:r>
    </w:p>
    <w:p w14:paraId="739DB9F7" w14:textId="77777777" w:rsidR="00AC577A" w:rsidRPr="00AC577A" w:rsidRDefault="00AC577A" w:rsidP="00AC577A">
      <w:pPr>
        <w:tabs>
          <w:tab w:val="right" w:leader="dot" w:pos="9072"/>
        </w:tabs>
        <w:spacing w:line="480" w:lineRule="auto"/>
        <w:ind w:left="284"/>
        <w:jc w:val="left"/>
        <w:rPr>
          <w:sz w:val="24"/>
          <w:szCs w:val="24"/>
        </w:rPr>
      </w:pPr>
      <w:r w:rsidRPr="00AC577A">
        <w:rPr>
          <w:sz w:val="24"/>
          <w:szCs w:val="24"/>
        </w:rPr>
        <w:t>5.1 Financial verification, tracing of assets and development of the property profile</w:t>
      </w:r>
      <w:r w:rsidRPr="00AC577A">
        <w:rPr>
          <w:sz w:val="24"/>
          <w:szCs w:val="24"/>
        </w:rPr>
        <w:tab/>
        <w:t>25</w:t>
      </w:r>
    </w:p>
    <w:p w14:paraId="04F43C29" w14:textId="7E2C6F72" w:rsidR="00AC577A" w:rsidRPr="00AC577A" w:rsidRDefault="00AC577A" w:rsidP="00AC577A">
      <w:pPr>
        <w:tabs>
          <w:tab w:val="right" w:leader="dot" w:pos="9072"/>
        </w:tabs>
        <w:spacing w:line="480" w:lineRule="auto"/>
        <w:ind w:left="284"/>
        <w:jc w:val="left"/>
        <w:rPr>
          <w:sz w:val="24"/>
          <w:szCs w:val="24"/>
        </w:rPr>
      </w:pPr>
      <w:r w:rsidRPr="00AC577A">
        <w:rPr>
          <w:sz w:val="24"/>
          <w:szCs w:val="24"/>
        </w:rPr>
        <w:t>5.2 Ver</w:t>
      </w:r>
      <w:r w:rsidR="00654302">
        <w:rPr>
          <w:sz w:val="24"/>
          <w:szCs w:val="24"/>
        </w:rPr>
        <w:t>i</w:t>
      </w:r>
      <w:r w:rsidRPr="00AC577A">
        <w:rPr>
          <w:sz w:val="24"/>
          <w:szCs w:val="24"/>
        </w:rPr>
        <w:t>fication of origin of property (property verification)</w:t>
      </w:r>
      <w:r w:rsidRPr="00AC577A">
        <w:rPr>
          <w:sz w:val="24"/>
          <w:szCs w:val="24"/>
        </w:rPr>
        <w:tab/>
        <w:t>27</w:t>
      </w:r>
    </w:p>
    <w:p w14:paraId="28B494F0" w14:textId="77777777" w:rsidR="00AC577A" w:rsidRPr="00AC577A" w:rsidRDefault="00AC577A" w:rsidP="00AC577A">
      <w:pPr>
        <w:tabs>
          <w:tab w:val="right" w:leader="dot" w:pos="9072"/>
        </w:tabs>
        <w:spacing w:line="480" w:lineRule="auto"/>
        <w:jc w:val="left"/>
        <w:rPr>
          <w:b/>
          <w:sz w:val="24"/>
          <w:szCs w:val="24"/>
        </w:rPr>
      </w:pPr>
      <w:r w:rsidRPr="00AC577A">
        <w:rPr>
          <w:b/>
          <w:sz w:val="24"/>
          <w:szCs w:val="24"/>
        </w:rPr>
        <w:t>6. Analytical activities</w:t>
      </w:r>
      <w:r w:rsidRPr="00AC577A">
        <w:rPr>
          <w:b/>
          <w:sz w:val="24"/>
          <w:szCs w:val="24"/>
        </w:rPr>
        <w:tab/>
        <w:t>29</w:t>
      </w:r>
    </w:p>
    <w:p w14:paraId="32C27CD3" w14:textId="4EBC3220" w:rsidR="00AC577A" w:rsidRPr="00AC577A" w:rsidRDefault="00AC577A" w:rsidP="00AC577A">
      <w:pPr>
        <w:tabs>
          <w:tab w:val="right" w:leader="dot" w:pos="9072"/>
        </w:tabs>
        <w:spacing w:line="480" w:lineRule="auto"/>
        <w:ind w:left="284"/>
        <w:jc w:val="left"/>
        <w:rPr>
          <w:sz w:val="24"/>
          <w:szCs w:val="24"/>
        </w:rPr>
      </w:pPr>
      <w:r w:rsidRPr="00AC577A">
        <w:rPr>
          <w:sz w:val="24"/>
          <w:szCs w:val="24"/>
        </w:rPr>
        <w:t>6.1 Transportation of funds in cash (</w:t>
      </w:r>
      <w:r w:rsidR="00D27D22" w:rsidRPr="00AC577A">
        <w:rPr>
          <w:sz w:val="24"/>
          <w:szCs w:val="24"/>
        </w:rPr>
        <w:t>Cross border</w:t>
      </w:r>
      <w:r w:rsidRPr="00AC577A">
        <w:rPr>
          <w:sz w:val="24"/>
          <w:szCs w:val="24"/>
        </w:rPr>
        <w:t xml:space="preserve"> reporting)</w:t>
      </w:r>
      <w:r w:rsidRPr="00AC577A">
        <w:rPr>
          <w:sz w:val="24"/>
          <w:szCs w:val="24"/>
        </w:rPr>
        <w:tab/>
        <w:t>29</w:t>
      </w:r>
    </w:p>
    <w:p w14:paraId="6A3B88FC" w14:textId="77777777" w:rsidR="00AC577A" w:rsidRPr="00AC577A" w:rsidRDefault="00AC577A" w:rsidP="00AC577A">
      <w:pPr>
        <w:tabs>
          <w:tab w:val="right" w:leader="dot" w:pos="9072"/>
        </w:tabs>
        <w:spacing w:line="480" w:lineRule="auto"/>
        <w:jc w:val="left"/>
        <w:rPr>
          <w:b/>
          <w:sz w:val="24"/>
          <w:szCs w:val="24"/>
        </w:rPr>
      </w:pPr>
      <w:r w:rsidRPr="00AC577A">
        <w:rPr>
          <w:b/>
          <w:sz w:val="24"/>
          <w:szCs w:val="24"/>
        </w:rPr>
        <w:t>7. Prognosis of the future development in the field of legalisation of proceeds of criminal activity and terrorist financing</w:t>
      </w:r>
      <w:r w:rsidRPr="00AC577A">
        <w:rPr>
          <w:b/>
          <w:sz w:val="24"/>
          <w:szCs w:val="24"/>
        </w:rPr>
        <w:tab/>
        <w:t>31</w:t>
      </w:r>
    </w:p>
    <w:p w14:paraId="09031FB0" w14:textId="5C2989A0" w:rsidR="00AC577A" w:rsidRPr="00AC577A" w:rsidRDefault="00AC577A" w:rsidP="00AC577A">
      <w:pPr>
        <w:tabs>
          <w:tab w:val="right" w:leader="dot" w:pos="9072"/>
        </w:tabs>
        <w:spacing w:line="480" w:lineRule="auto"/>
        <w:jc w:val="left"/>
        <w:rPr>
          <w:b/>
          <w:sz w:val="24"/>
          <w:szCs w:val="24"/>
        </w:rPr>
      </w:pPr>
      <w:r w:rsidRPr="00AC577A">
        <w:rPr>
          <w:b/>
          <w:sz w:val="24"/>
          <w:szCs w:val="24"/>
        </w:rPr>
        <w:t>8. Evaluation of cooperation with the national counterparts</w:t>
      </w:r>
      <w:r>
        <w:rPr>
          <w:b/>
          <w:sz w:val="24"/>
          <w:szCs w:val="24"/>
        </w:rPr>
        <w:tab/>
      </w:r>
      <w:r w:rsidRPr="00AC577A">
        <w:rPr>
          <w:b/>
          <w:sz w:val="24"/>
          <w:szCs w:val="24"/>
        </w:rPr>
        <w:t>32</w:t>
      </w:r>
    </w:p>
    <w:p w14:paraId="348DFE4A" w14:textId="57E36B3E" w:rsidR="00B712B6" w:rsidRDefault="00AC577A" w:rsidP="00AC577A">
      <w:pPr>
        <w:tabs>
          <w:tab w:val="right" w:leader="dot" w:pos="9072"/>
        </w:tabs>
        <w:spacing w:line="480" w:lineRule="auto"/>
        <w:jc w:val="left"/>
        <w:rPr>
          <w:b/>
          <w:sz w:val="24"/>
          <w:szCs w:val="24"/>
        </w:rPr>
      </w:pPr>
      <w:r w:rsidRPr="00AC577A">
        <w:rPr>
          <w:b/>
          <w:sz w:val="24"/>
          <w:szCs w:val="24"/>
        </w:rPr>
        <w:t>Contact details</w:t>
      </w:r>
      <w:r w:rsidRPr="00AC577A">
        <w:rPr>
          <w:b/>
          <w:sz w:val="24"/>
          <w:szCs w:val="24"/>
        </w:rPr>
        <w:tab/>
        <w:t>34</w:t>
      </w:r>
    </w:p>
    <w:p w14:paraId="5DFFD476" w14:textId="77777777" w:rsidR="003C161E" w:rsidRDefault="003C161E" w:rsidP="00857DD3">
      <w:pPr>
        <w:tabs>
          <w:tab w:val="center" w:pos="851"/>
          <w:tab w:val="center" w:pos="7513"/>
        </w:tabs>
        <w:spacing w:line="480" w:lineRule="auto"/>
        <w:jc w:val="left"/>
        <w:rPr>
          <w:b/>
          <w:sz w:val="28"/>
          <w:szCs w:val="28"/>
        </w:rPr>
      </w:pPr>
    </w:p>
    <w:p w14:paraId="0B414B66" w14:textId="77777777" w:rsidR="00FC2686" w:rsidRDefault="00FC2686" w:rsidP="00857DD3">
      <w:pPr>
        <w:tabs>
          <w:tab w:val="center" w:pos="851"/>
          <w:tab w:val="center" w:pos="7513"/>
        </w:tabs>
        <w:spacing w:line="480" w:lineRule="auto"/>
        <w:jc w:val="left"/>
        <w:rPr>
          <w:b/>
          <w:sz w:val="28"/>
          <w:szCs w:val="28"/>
        </w:rPr>
      </w:pPr>
    </w:p>
    <w:p w14:paraId="62F641AC" w14:textId="77777777" w:rsidR="00FC2686" w:rsidRPr="001F5897" w:rsidRDefault="00FC2686" w:rsidP="00857DD3">
      <w:pPr>
        <w:tabs>
          <w:tab w:val="center" w:pos="851"/>
          <w:tab w:val="center" w:pos="7513"/>
        </w:tabs>
        <w:spacing w:line="480" w:lineRule="auto"/>
        <w:jc w:val="left"/>
        <w:rPr>
          <w:b/>
          <w:sz w:val="28"/>
          <w:szCs w:val="28"/>
        </w:rPr>
      </w:pPr>
    </w:p>
    <w:p w14:paraId="4C3EB2EC" w14:textId="77777777" w:rsidR="00AC577A" w:rsidRDefault="00AC577A" w:rsidP="009E5E14">
      <w:pPr>
        <w:jc w:val="center"/>
        <w:rPr>
          <w:b/>
          <w:sz w:val="28"/>
        </w:rPr>
      </w:pPr>
    </w:p>
    <w:p w14:paraId="46611AA0" w14:textId="77777777" w:rsidR="00B712B6" w:rsidRPr="001F5897" w:rsidRDefault="00641257" w:rsidP="009E5E14">
      <w:pPr>
        <w:jc w:val="center"/>
        <w:rPr>
          <w:b/>
          <w:sz w:val="28"/>
        </w:rPr>
      </w:pPr>
      <w:r w:rsidRPr="001F5897">
        <w:rPr>
          <w:b/>
          <w:sz w:val="28"/>
        </w:rPr>
        <w:lastRenderedPageBreak/>
        <w:t>Introductory word</w:t>
      </w:r>
    </w:p>
    <w:p w14:paraId="16473961" w14:textId="77777777" w:rsidR="00B712B6" w:rsidRPr="001F5897" w:rsidRDefault="00B712B6" w:rsidP="009E5E14">
      <w:pPr>
        <w:rPr>
          <w:sz w:val="24"/>
          <w:szCs w:val="24"/>
        </w:rPr>
      </w:pPr>
    </w:p>
    <w:p w14:paraId="4570FC21" w14:textId="0BF3268F" w:rsidR="00941DE0" w:rsidRPr="001F5897" w:rsidRDefault="00FE595A" w:rsidP="009E5E14">
      <w:pPr>
        <w:rPr>
          <w:sz w:val="24"/>
          <w:szCs w:val="24"/>
        </w:rPr>
      </w:pPr>
      <w:r w:rsidRPr="001F5897">
        <w:rPr>
          <w:sz w:val="24"/>
          <w:szCs w:val="24"/>
        </w:rPr>
        <w:t xml:space="preserve">    </w:t>
      </w:r>
      <w:r w:rsidR="00941DE0" w:rsidRPr="001F5897">
        <w:rPr>
          <w:sz w:val="24"/>
          <w:szCs w:val="24"/>
        </w:rPr>
        <w:t xml:space="preserve">Pursuant to the practices </w:t>
      </w:r>
      <w:r w:rsidRPr="001F5897">
        <w:rPr>
          <w:sz w:val="24"/>
          <w:szCs w:val="24"/>
        </w:rPr>
        <w:t>of</w:t>
      </w:r>
      <w:r w:rsidR="0063713F" w:rsidRPr="001F5897">
        <w:rPr>
          <w:sz w:val="24"/>
          <w:szCs w:val="24"/>
        </w:rPr>
        <w:t xml:space="preserve"> </w:t>
      </w:r>
      <w:r w:rsidR="00941DE0" w:rsidRPr="001F5897">
        <w:rPr>
          <w:sz w:val="24"/>
          <w:szCs w:val="24"/>
        </w:rPr>
        <w:t xml:space="preserve">the previous years the Annual Report of the Financial Intelligence Unit of National Criminal Agency of Police Force Presidium (thereinafter referred to as “FSJ”) is presented to the wide public this year as well. </w:t>
      </w:r>
      <w:r w:rsidR="00BD4730" w:rsidRPr="001F5897">
        <w:rPr>
          <w:sz w:val="24"/>
          <w:szCs w:val="24"/>
        </w:rPr>
        <w:t xml:space="preserve">Its annual development and presentation is performed due to the obligation stipulated by the Section 27 </w:t>
      </w:r>
      <w:proofErr w:type="spellStart"/>
      <w:r w:rsidR="00BD4730" w:rsidRPr="001F5897">
        <w:rPr>
          <w:sz w:val="24"/>
          <w:szCs w:val="24"/>
        </w:rPr>
        <w:t>para</w:t>
      </w:r>
      <w:proofErr w:type="spellEnd"/>
      <w:r w:rsidR="00BD4730" w:rsidRPr="001F5897">
        <w:rPr>
          <w:sz w:val="24"/>
          <w:szCs w:val="24"/>
        </w:rPr>
        <w:t xml:space="preserve"> 1 of </w:t>
      </w:r>
      <w:r w:rsidR="00221DEB" w:rsidRPr="001F5897">
        <w:rPr>
          <w:sz w:val="24"/>
          <w:szCs w:val="24"/>
        </w:rPr>
        <w:t xml:space="preserve">the </w:t>
      </w:r>
      <w:r w:rsidR="00BD4730" w:rsidRPr="001F5897">
        <w:rPr>
          <w:sz w:val="24"/>
          <w:szCs w:val="24"/>
        </w:rPr>
        <w:t>Act No. 297/2008 Coll. on the prevention of legalization of proceeds of criminal activity and terrorist financing and on ame</w:t>
      </w:r>
      <w:r w:rsidR="00221DEB" w:rsidRPr="001F5897">
        <w:rPr>
          <w:sz w:val="24"/>
          <w:szCs w:val="24"/>
        </w:rPr>
        <w:t>n</w:t>
      </w:r>
      <w:r w:rsidR="00BD4730" w:rsidRPr="001F5897">
        <w:rPr>
          <w:sz w:val="24"/>
          <w:szCs w:val="24"/>
        </w:rPr>
        <w:t>dments and supplements to certain acts</w:t>
      </w:r>
      <w:r w:rsidR="00221DEB" w:rsidRPr="001F5897">
        <w:rPr>
          <w:sz w:val="24"/>
          <w:szCs w:val="24"/>
        </w:rPr>
        <w:t xml:space="preserve"> as amended by the further acts (thereinafter referred to as “AML Law”). </w:t>
      </w:r>
    </w:p>
    <w:p w14:paraId="1A85592E" w14:textId="77777777" w:rsidR="00221DEB" w:rsidRPr="001F5897" w:rsidRDefault="00221DEB" w:rsidP="009E5E14">
      <w:pPr>
        <w:rPr>
          <w:sz w:val="24"/>
          <w:szCs w:val="24"/>
        </w:rPr>
      </w:pPr>
    </w:p>
    <w:p w14:paraId="08BAEF5D" w14:textId="77777777" w:rsidR="00221DEB" w:rsidRPr="001F5897" w:rsidRDefault="00221DEB" w:rsidP="009E5E14">
      <w:pPr>
        <w:rPr>
          <w:sz w:val="24"/>
          <w:szCs w:val="24"/>
        </w:rPr>
      </w:pPr>
      <w:r w:rsidRPr="001F5897">
        <w:rPr>
          <w:sz w:val="24"/>
          <w:szCs w:val="24"/>
        </w:rPr>
        <w:t xml:space="preserve">     The comprehensive view of activities </w:t>
      </w:r>
      <w:r w:rsidR="003C003B" w:rsidRPr="001F5897">
        <w:rPr>
          <w:sz w:val="24"/>
          <w:szCs w:val="24"/>
        </w:rPr>
        <w:t>performed by the</w:t>
      </w:r>
      <w:r w:rsidRPr="001F5897">
        <w:rPr>
          <w:sz w:val="24"/>
          <w:szCs w:val="24"/>
        </w:rPr>
        <w:t xml:space="preserve"> FSJ that act</w:t>
      </w:r>
      <w:r w:rsidR="008C42CF" w:rsidRPr="001F5897">
        <w:rPr>
          <w:sz w:val="24"/>
          <w:szCs w:val="24"/>
        </w:rPr>
        <w:t>s</w:t>
      </w:r>
      <w:r w:rsidRPr="001F5897">
        <w:rPr>
          <w:sz w:val="24"/>
          <w:szCs w:val="24"/>
        </w:rPr>
        <w:t xml:space="preserve"> as the distinctive unit of the Financial Police in the field of fulfilling of the particular tasks within prevention and detection</w:t>
      </w:r>
      <w:r w:rsidR="003C003B" w:rsidRPr="001F5897">
        <w:rPr>
          <w:sz w:val="24"/>
          <w:szCs w:val="24"/>
        </w:rPr>
        <w:t xml:space="preserve"> of money laundering and terrorist financing</w:t>
      </w:r>
      <w:r w:rsidRPr="001F5897">
        <w:rPr>
          <w:sz w:val="24"/>
          <w:szCs w:val="24"/>
        </w:rPr>
        <w:t xml:space="preserve"> is the main purpose </w:t>
      </w:r>
      <w:r w:rsidR="003C003B" w:rsidRPr="001F5897">
        <w:rPr>
          <w:sz w:val="24"/>
          <w:szCs w:val="24"/>
        </w:rPr>
        <w:t xml:space="preserve">of the respective Annual Report. Especially </w:t>
      </w:r>
      <w:r w:rsidR="004C6771" w:rsidRPr="001F5897">
        <w:rPr>
          <w:sz w:val="24"/>
          <w:szCs w:val="24"/>
        </w:rPr>
        <w:t xml:space="preserve">the </w:t>
      </w:r>
      <w:r w:rsidR="003C003B" w:rsidRPr="001F5897">
        <w:rPr>
          <w:sz w:val="24"/>
          <w:szCs w:val="24"/>
        </w:rPr>
        <w:t>evaluation</w:t>
      </w:r>
      <w:r w:rsidR="005A6E0F" w:rsidRPr="001F5897">
        <w:rPr>
          <w:sz w:val="24"/>
          <w:szCs w:val="24"/>
        </w:rPr>
        <w:t xml:space="preserve"> is focused on</w:t>
      </w:r>
      <w:r w:rsidR="003C003B" w:rsidRPr="001F5897">
        <w:rPr>
          <w:sz w:val="24"/>
          <w:szCs w:val="24"/>
        </w:rPr>
        <w:t xml:space="preserve"> </w:t>
      </w:r>
      <w:r w:rsidR="00F05587" w:rsidRPr="001F5897">
        <w:rPr>
          <w:sz w:val="24"/>
          <w:szCs w:val="24"/>
        </w:rPr>
        <w:t xml:space="preserve">FSJ´s </w:t>
      </w:r>
      <w:r w:rsidR="00EF4D06" w:rsidRPr="001F5897">
        <w:rPr>
          <w:sz w:val="24"/>
          <w:szCs w:val="24"/>
        </w:rPr>
        <w:t>d</w:t>
      </w:r>
      <w:r w:rsidR="005A6E0F" w:rsidRPr="001F5897">
        <w:rPr>
          <w:sz w:val="24"/>
          <w:szCs w:val="24"/>
        </w:rPr>
        <w:t xml:space="preserve">uties in the area of processing of unusual transaction reports (thereinafter referred to as “UTR”), in the area of supervision of obliged entities, international cooperation, financial and property verification, or analytical activities </w:t>
      </w:r>
      <w:r w:rsidR="00EF4D06" w:rsidRPr="001F5897">
        <w:rPr>
          <w:sz w:val="24"/>
          <w:szCs w:val="24"/>
        </w:rPr>
        <w:t xml:space="preserve">realized </w:t>
      </w:r>
      <w:r w:rsidR="005A6E0F" w:rsidRPr="001F5897">
        <w:rPr>
          <w:sz w:val="24"/>
          <w:szCs w:val="24"/>
        </w:rPr>
        <w:t>during the previous year.</w:t>
      </w:r>
    </w:p>
    <w:p w14:paraId="067D785D" w14:textId="77777777" w:rsidR="005A6E0F" w:rsidRPr="001F5897" w:rsidRDefault="005A6E0F" w:rsidP="009E5E14">
      <w:pPr>
        <w:rPr>
          <w:sz w:val="24"/>
          <w:szCs w:val="24"/>
        </w:rPr>
      </w:pPr>
    </w:p>
    <w:p w14:paraId="167F3665" w14:textId="77777777" w:rsidR="005A6E0F" w:rsidRPr="001F5897" w:rsidRDefault="003C0811" w:rsidP="009E5E14">
      <w:pPr>
        <w:rPr>
          <w:sz w:val="24"/>
          <w:szCs w:val="24"/>
        </w:rPr>
      </w:pPr>
      <w:r w:rsidRPr="001F5897">
        <w:rPr>
          <w:sz w:val="24"/>
          <w:szCs w:val="24"/>
        </w:rPr>
        <w:t xml:space="preserve">     </w:t>
      </w:r>
      <w:r w:rsidR="00EF4D06" w:rsidRPr="001F5897">
        <w:rPr>
          <w:sz w:val="24"/>
          <w:szCs w:val="24"/>
        </w:rPr>
        <w:t xml:space="preserve">The presented Annual Report consists of outcomes reached by the officers of particular departments of FSJ during the year 2014. The respective outcomes are step-by-step summarized in the next chapters of this Report. On the basis of comparison of the outcomes reached in 2014 with outcomes reached in the previous years, it could be stated that the efficiency of </w:t>
      </w:r>
      <w:r w:rsidR="002D3B3F" w:rsidRPr="001F5897">
        <w:rPr>
          <w:sz w:val="24"/>
          <w:szCs w:val="24"/>
        </w:rPr>
        <w:t xml:space="preserve">various </w:t>
      </w:r>
      <w:r w:rsidR="00EF4D06" w:rsidRPr="001F5897">
        <w:rPr>
          <w:sz w:val="24"/>
          <w:szCs w:val="24"/>
        </w:rPr>
        <w:t>activities</w:t>
      </w:r>
      <w:r w:rsidR="002D3B3F" w:rsidRPr="001F5897">
        <w:rPr>
          <w:sz w:val="24"/>
          <w:szCs w:val="24"/>
        </w:rPr>
        <w:t xml:space="preserve"> fall within the agenda of FSJ</w:t>
      </w:r>
      <w:r w:rsidR="00EF4D06" w:rsidRPr="001F5897">
        <w:rPr>
          <w:sz w:val="24"/>
          <w:szCs w:val="24"/>
        </w:rPr>
        <w:t xml:space="preserve"> has increased </w:t>
      </w:r>
      <w:r w:rsidR="002D3B3F" w:rsidRPr="001F5897">
        <w:rPr>
          <w:sz w:val="24"/>
          <w:szCs w:val="24"/>
        </w:rPr>
        <w:t>tendency. These outcomes</w:t>
      </w:r>
      <w:r w:rsidRPr="001F5897">
        <w:rPr>
          <w:sz w:val="24"/>
          <w:szCs w:val="24"/>
        </w:rPr>
        <w:t xml:space="preserve"> could be perceived from the point of view of extend and quality of realized controls of obliged entities, number of processed UTRs, number of incoming requests and information provided spontaneously to abroad. </w:t>
      </w:r>
    </w:p>
    <w:p w14:paraId="2956736B" w14:textId="77777777" w:rsidR="00221DEB" w:rsidRPr="001F5897" w:rsidRDefault="00221DEB" w:rsidP="009E5E14">
      <w:pPr>
        <w:rPr>
          <w:sz w:val="24"/>
          <w:szCs w:val="24"/>
        </w:rPr>
      </w:pPr>
    </w:p>
    <w:p w14:paraId="7496A895" w14:textId="77777777" w:rsidR="00221DEB" w:rsidRPr="001F5897" w:rsidRDefault="003C0811" w:rsidP="009E5E14">
      <w:pPr>
        <w:rPr>
          <w:sz w:val="24"/>
          <w:szCs w:val="24"/>
        </w:rPr>
      </w:pPr>
      <w:r w:rsidRPr="001F5897">
        <w:rPr>
          <w:sz w:val="24"/>
          <w:szCs w:val="24"/>
        </w:rPr>
        <w:t xml:space="preserve">     </w:t>
      </w:r>
      <w:r w:rsidR="00991C4A" w:rsidRPr="001F5897">
        <w:rPr>
          <w:sz w:val="24"/>
          <w:szCs w:val="24"/>
        </w:rPr>
        <w:t>The ambition of the respective Annual Report is not only to point out the activities and tasks of FSJ stipulated by the AML Law which could be evaluated on the basis of various</w:t>
      </w:r>
      <w:r w:rsidR="000F55A3" w:rsidRPr="001F5897">
        <w:rPr>
          <w:sz w:val="24"/>
          <w:szCs w:val="24"/>
        </w:rPr>
        <w:t xml:space="preserve"> statistical data because of the variability of its results but to point out the activities of FSJ´s officers which are not </w:t>
      </w:r>
      <w:r w:rsidR="008C42CF" w:rsidRPr="001F5897">
        <w:rPr>
          <w:sz w:val="24"/>
          <w:szCs w:val="24"/>
        </w:rPr>
        <w:t>kept</w:t>
      </w:r>
      <w:r w:rsidR="000F55A3" w:rsidRPr="001F5897">
        <w:rPr>
          <w:sz w:val="24"/>
          <w:szCs w:val="24"/>
        </w:rPr>
        <w:t xml:space="preserve"> by the respective statistical data. First of all such activities are focused on </w:t>
      </w:r>
      <w:r w:rsidR="009E5E14" w:rsidRPr="001F5897">
        <w:rPr>
          <w:sz w:val="24"/>
          <w:szCs w:val="24"/>
        </w:rPr>
        <w:t xml:space="preserve">the effort </w:t>
      </w:r>
      <w:r w:rsidR="008C42CF" w:rsidRPr="001F5897">
        <w:rPr>
          <w:sz w:val="24"/>
          <w:szCs w:val="24"/>
        </w:rPr>
        <w:t>to retain</w:t>
      </w:r>
      <w:r w:rsidR="009E5E14" w:rsidRPr="001F5897">
        <w:rPr>
          <w:sz w:val="24"/>
          <w:szCs w:val="24"/>
        </w:rPr>
        <w:t xml:space="preserve"> the status</w:t>
      </w:r>
      <w:r w:rsidR="008C42CF" w:rsidRPr="001F5897">
        <w:rPr>
          <w:sz w:val="24"/>
          <w:szCs w:val="24"/>
        </w:rPr>
        <w:t xml:space="preserve"> of FSJ</w:t>
      </w:r>
      <w:r w:rsidR="009E5E14" w:rsidRPr="001F5897">
        <w:rPr>
          <w:sz w:val="24"/>
          <w:szCs w:val="24"/>
        </w:rPr>
        <w:t xml:space="preserve"> as a central unit in the AML/CFT system henceforward.</w:t>
      </w:r>
    </w:p>
    <w:p w14:paraId="52CE5EBA" w14:textId="77777777" w:rsidR="009E5E14" w:rsidRPr="001F5897" w:rsidRDefault="009E5E14" w:rsidP="009E5E14">
      <w:pPr>
        <w:rPr>
          <w:sz w:val="24"/>
          <w:szCs w:val="24"/>
        </w:rPr>
      </w:pPr>
    </w:p>
    <w:p w14:paraId="5214F67D" w14:textId="60DFFB22" w:rsidR="009E5E14" w:rsidRPr="001F5897" w:rsidRDefault="00A76BF6" w:rsidP="009E5E14">
      <w:pPr>
        <w:rPr>
          <w:sz w:val="24"/>
          <w:szCs w:val="24"/>
        </w:rPr>
      </w:pPr>
      <w:r w:rsidRPr="001F5897">
        <w:rPr>
          <w:sz w:val="24"/>
          <w:szCs w:val="24"/>
        </w:rPr>
        <w:tab/>
      </w:r>
      <w:r w:rsidR="00FE595A" w:rsidRPr="001F5897">
        <w:rPr>
          <w:sz w:val="24"/>
          <w:szCs w:val="24"/>
        </w:rPr>
        <w:t>T</w:t>
      </w:r>
      <w:r w:rsidRPr="001F5897">
        <w:rPr>
          <w:sz w:val="24"/>
          <w:szCs w:val="24"/>
        </w:rPr>
        <w:t>he cooperation with our foreign and domestic partners has doubtlessly significantly contributed to the results and activities of FSJ at the national, as well as at the international leve</w:t>
      </w:r>
      <w:r w:rsidR="00FE595A" w:rsidRPr="001F5897">
        <w:rPr>
          <w:sz w:val="24"/>
          <w:szCs w:val="24"/>
        </w:rPr>
        <w:t>l</w:t>
      </w:r>
      <w:r w:rsidR="009B4464" w:rsidRPr="001F5897">
        <w:rPr>
          <w:sz w:val="24"/>
          <w:szCs w:val="24"/>
        </w:rPr>
        <w:t xml:space="preserve"> (i.e. other units of the Slovak Police Force, prosecutor´s offices, representatives of state administrative bodies, representatives of obliged entities) to whom we would like</w:t>
      </w:r>
      <w:r w:rsidR="005C23D5" w:rsidRPr="001F5897">
        <w:rPr>
          <w:sz w:val="24"/>
          <w:szCs w:val="24"/>
        </w:rPr>
        <w:t xml:space="preserve"> </w:t>
      </w:r>
      <w:r w:rsidRPr="001F5897">
        <w:rPr>
          <w:sz w:val="24"/>
          <w:szCs w:val="24"/>
        </w:rPr>
        <w:t xml:space="preserve">to </w:t>
      </w:r>
      <w:r w:rsidR="005C23D5" w:rsidRPr="001F5897">
        <w:rPr>
          <w:sz w:val="24"/>
          <w:szCs w:val="24"/>
        </w:rPr>
        <w:t xml:space="preserve">express our thanks for their superior and still improving cooperation. </w:t>
      </w:r>
    </w:p>
    <w:p w14:paraId="0940E8FD" w14:textId="77777777" w:rsidR="00B712B6" w:rsidRPr="001F5897" w:rsidRDefault="00B712B6" w:rsidP="009E5E14">
      <w:pPr>
        <w:rPr>
          <w:sz w:val="24"/>
          <w:szCs w:val="24"/>
        </w:rPr>
      </w:pPr>
    </w:p>
    <w:p w14:paraId="3A869D1E" w14:textId="77777777" w:rsidR="003C161E" w:rsidRDefault="003C161E" w:rsidP="00B712B6">
      <w:pPr>
        <w:pStyle w:val="Nzovkapitoly"/>
      </w:pPr>
      <w:bookmarkStart w:id="0" w:name="_Toc412466383"/>
    </w:p>
    <w:p w14:paraId="5946511A" w14:textId="77777777" w:rsidR="003C161E" w:rsidRDefault="003C161E" w:rsidP="00B712B6">
      <w:pPr>
        <w:pStyle w:val="Nzovkapitoly"/>
      </w:pPr>
    </w:p>
    <w:p w14:paraId="79A23E0A" w14:textId="77777777" w:rsidR="003C161E" w:rsidRDefault="003C161E" w:rsidP="00B712B6">
      <w:pPr>
        <w:pStyle w:val="Nzovkapitoly"/>
      </w:pPr>
    </w:p>
    <w:p w14:paraId="6032FF8A" w14:textId="77777777" w:rsidR="003C161E" w:rsidRDefault="003C161E" w:rsidP="00B712B6">
      <w:pPr>
        <w:pStyle w:val="Nzovkapitoly"/>
      </w:pPr>
    </w:p>
    <w:p w14:paraId="1F823F5B" w14:textId="77777777" w:rsidR="003C161E" w:rsidRDefault="003C161E" w:rsidP="00B712B6">
      <w:pPr>
        <w:pStyle w:val="Nzovkapitoly"/>
      </w:pPr>
    </w:p>
    <w:p w14:paraId="62C540F3" w14:textId="77777777" w:rsidR="003C161E" w:rsidRDefault="003C161E" w:rsidP="00B712B6">
      <w:pPr>
        <w:pStyle w:val="Nzovkapitoly"/>
      </w:pPr>
    </w:p>
    <w:p w14:paraId="4459A1A3" w14:textId="77777777" w:rsidR="003C161E" w:rsidRDefault="003C161E" w:rsidP="00B712B6">
      <w:pPr>
        <w:pStyle w:val="Nzovkapitoly"/>
      </w:pPr>
    </w:p>
    <w:p w14:paraId="3D9AD19E" w14:textId="77777777" w:rsidR="003C161E" w:rsidRDefault="003C161E" w:rsidP="00B712B6">
      <w:pPr>
        <w:pStyle w:val="Nzovkapitoly"/>
      </w:pPr>
    </w:p>
    <w:p w14:paraId="77686759" w14:textId="77777777" w:rsidR="003C161E" w:rsidRDefault="003C161E" w:rsidP="00B712B6">
      <w:pPr>
        <w:pStyle w:val="Nzovkapitoly"/>
      </w:pPr>
    </w:p>
    <w:p w14:paraId="1A36E1A4" w14:textId="77777777" w:rsidR="00B712B6" w:rsidRPr="001F5897" w:rsidRDefault="00B712B6" w:rsidP="00B712B6">
      <w:pPr>
        <w:pStyle w:val="Nzovkapitoly"/>
      </w:pPr>
      <w:r w:rsidRPr="001F5897">
        <w:lastRenderedPageBreak/>
        <w:t xml:space="preserve">1. </w:t>
      </w:r>
      <w:r w:rsidR="00641257" w:rsidRPr="001F5897">
        <w:t>Characteristic</w:t>
      </w:r>
      <w:r w:rsidRPr="001F5897">
        <w:t xml:space="preserve">, </w:t>
      </w:r>
      <w:r w:rsidR="00641257" w:rsidRPr="001F5897">
        <w:t>legislative framework</w:t>
      </w:r>
      <w:r w:rsidRPr="001F5897">
        <w:t xml:space="preserve"> </w:t>
      </w:r>
      <w:r w:rsidR="00641257" w:rsidRPr="001F5897">
        <w:t>and organizational structure of</w:t>
      </w:r>
      <w:r w:rsidRPr="001F5897">
        <w:t xml:space="preserve"> FSJ</w:t>
      </w:r>
      <w:bookmarkEnd w:id="0"/>
    </w:p>
    <w:p w14:paraId="467B1F1A" w14:textId="77777777" w:rsidR="00B712B6" w:rsidRPr="001F5897" w:rsidRDefault="00B712B6" w:rsidP="00B712B6">
      <w:pPr>
        <w:spacing w:after="120"/>
        <w:rPr>
          <w:sz w:val="24"/>
          <w:szCs w:val="24"/>
        </w:rPr>
      </w:pPr>
    </w:p>
    <w:p w14:paraId="7C651011" w14:textId="77777777" w:rsidR="003C2C52" w:rsidRPr="001F5897" w:rsidRDefault="003C2C52" w:rsidP="001A3432">
      <w:pPr>
        <w:rPr>
          <w:sz w:val="24"/>
          <w:szCs w:val="24"/>
        </w:rPr>
      </w:pPr>
      <w:r w:rsidRPr="001F5897">
        <w:rPr>
          <w:sz w:val="24"/>
          <w:szCs w:val="24"/>
        </w:rPr>
        <w:t xml:space="preserve">     The legislative framework of FSJ´s activities is represented especially by AML Law; Act No. 171/1998 Coll. on the Police Force as amended by the further acts (thereinafter referred to as “Act on the Police Force”)</w:t>
      </w:r>
      <w:r w:rsidR="00C511F3" w:rsidRPr="001F5897">
        <w:rPr>
          <w:sz w:val="24"/>
          <w:szCs w:val="24"/>
        </w:rPr>
        <w:t>, Act No. 101/2010 Coll. on the proof of origin of property (thereinafter referred to as “Act on the proof of origin of property”), Act No. 199/2004 Coll. Custom Law and on amendments and supplements to certain acts as amended by the further acts (thereinafter referred to as “Customs Law”), enactments and decision</w:t>
      </w:r>
      <w:r w:rsidR="00AD17D1" w:rsidRPr="001F5897">
        <w:rPr>
          <w:sz w:val="24"/>
          <w:szCs w:val="24"/>
        </w:rPr>
        <w:t>s</w:t>
      </w:r>
      <w:r w:rsidR="00C511F3" w:rsidRPr="001F5897">
        <w:rPr>
          <w:sz w:val="24"/>
          <w:szCs w:val="24"/>
        </w:rPr>
        <w:t xml:space="preserve"> of the European Union (</w:t>
      </w:r>
      <w:r w:rsidR="006C441C" w:rsidRPr="001F5897">
        <w:rPr>
          <w:sz w:val="24"/>
          <w:szCs w:val="24"/>
        </w:rPr>
        <w:t xml:space="preserve">Regulation (EC) No. 1889/2005 of the European Parliament and of the Council on controls of cash entering or leaving the Community, Council </w:t>
      </w:r>
      <w:r w:rsidR="008032ED" w:rsidRPr="001F5897">
        <w:rPr>
          <w:sz w:val="24"/>
          <w:szCs w:val="24"/>
        </w:rPr>
        <w:t xml:space="preserve">framework </w:t>
      </w:r>
      <w:r w:rsidR="006C441C" w:rsidRPr="001F5897">
        <w:rPr>
          <w:sz w:val="24"/>
          <w:szCs w:val="24"/>
        </w:rPr>
        <w:t xml:space="preserve">decision 2006/960/JHA on </w:t>
      </w:r>
      <w:r w:rsidR="008032ED" w:rsidRPr="001F5897">
        <w:rPr>
          <w:sz w:val="24"/>
          <w:szCs w:val="24"/>
        </w:rPr>
        <w:t>simplifying the exchange of information and intelligence between law enforcement authorities of the Member States of the European Union (thereinafter referred to as “Decision No. 2006/960/JHA”), Council decision 2007/845/JHA concerning cooperation between Asset Recovery Offices of the Member States in the field of tracing and identification of proceeds from, or other property related to crime (thereinafter referred to as “decision No. 2007/845/JHA”), Council decision 200/642/JHA concerning arrangements for cooperation between financial intelligence units of the Member States in respect of exchanging information (thereinafter referred to as “Decision No. 20</w:t>
      </w:r>
      <w:r w:rsidR="001B7C8C" w:rsidRPr="001F5897">
        <w:rPr>
          <w:sz w:val="24"/>
          <w:szCs w:val="24"/>
        </w:rPr>
        <w:t xml:space="preserve">00/642/JHA)) and international agreements to which the Slovak Republic joined (especially Vienna </w:t>
      </w:r>
      <w:proofErr w:type="spellStart"/>
      <w:r w:rsidR="001B7C8C" w:rsidRPr="001F5897">
        <w:rPr>
          <w:sz w:val="24"/>
          <w:szCs w:val="24"/>
        </w:rPr>
        <w:t>Convenction</w:t>
      </w:r>
      <w:proofErr w:type="spellEnd"/>
      <w:r w:rsidR="001B7C8C" w:rsidRPr="001F5897">
        <w:rPr>
          <w:sz w:val="24"/>
          <w:szCs w:val="24"/>
        </w:rPr>
        <w:t xml:space="preserve">, Warsaw Convention and Palermo Convention). </w:t>
      </w:r>
    </w:p>
    <w:p w14:paraId="4C266465" w14:textId="77777777" w:rsidR="001A3432" w:rsidRPr="001F5897" w:rsidRDefault="001A3432" w:rsidP="001A3432">
      <w:pPr>
        <w:rPr>
          <w:sz w:val="24"/>
          <w:szCs w:val="24"/>
        </w:rPr>
      </w:pPr>
    </w:p>
    <w:p w14:paraId="77E65938" w14:textId="4CAD1B17" w:rsidR="001B7C8C" w:rsidRPr="001F5897" w:rsidRDefault="001B7C8C" w:rsidP="001A3432">
      <w:pPr>
        <w:rPr>
          <w:sz w:val="24"/>
          <w:szCs w:val="24"/>
        </w:rPr>
      </w:pPr>
      <w:r w:rsidRPr="001F5897">
        <w:rPr>
          <w:sz w:val="24"/>
          <w:szCs w:val="24"/>
        </w:rPr>
        <w:t xml:space="preserve">     Because of the fact that FSJ is incorporated within the organizational structure of the Police Force Presidium cooperation with the relevant police units in foreign countries is ensuring as well in compliance with bi-lateral agreements concluded at the level of Ministry of Interior of the Slovak Republic, or at the level of Police Force Presidium. In general the respective agreements regulate cooperation in</w:t>
      </w:r>
      <w:r w:rsidR="005A0D5E" w:rsidRPr="001F5897">
        <w:rPr>
          <w:sz w:val="24"/>
          <w:szCs w:val="24"/>
        </w:rPr>
        <w:t xml:space="preserve"> field of</w:t>
      </w:r>
      <w:r w:rsidRPr="001F5897">
        <w:rPr>
          <w:sz w:val="24"/>
          <w:szCs w:val="24"/>
        </w:rPr>
        <w:t xml:space="preserve"> </w:t>
      </w:r>
      <w:r w:rsidR="005A0D5E" w:rsidRPr="001F5897">
        <w:rPr>
          <w:sz w:val="24"/>
          <w:szCs w:val="24"/>
        </w:rPr>
        <w:t>crime fighting</w:t>
      </w:r>
      <w:r w:rsidRPr="001F5897">
        <w:rPr>
          <w:sz w:val="24"/>
          <w:szCs w:val="24"/>
        </w:rPr>
        <w:t xml:space="preserve">, but include parts related to cooperation and exchange of information </w:t>
      </w:r>
      <w:r w:rsidR="001724FA" w:rsidRPr="001F5897">
        <w:rPr>
          <w:sz w:val="24"/>
          <w:szCs w:val="24"/>
        </w:rPr>
        <w:t>in order to solve the cases of money laundering or terrorist financing as well.</w:t>
      </w:r>
    </w:p>
    <w:p w14:paraId="5AF9B413" w14:textId="77777777" w:rsidR="001A3432" w:rsidRPr="001F5897" w:rsidRDefault="001A3432" w:rsidP="001A3432">
      <w:pPr>
        <w:rPr>
          <w:sz w:val="24"/>
          <w:szCs w:val="24"/>
        </w:rPr>
      </w:pPr>
    </w:p>
    <w:p w14:paraId="387E2B1F" w14:textId="0434BB68" w:rsidR="001B7C8C" w:rsidRPr="001F5897" w:rsidRDefault="001724FA" w:rsidP="001A3432">
      <w:pPr>
        <w:rPr>
          <w:sz w:val="24"/>
          <w:szCs w:val="24"/>
        </w:rPr>
      </w:pPr>
      <w:r w:rsidRPr="001F5897">
        <w:rPr>
          <w:sz w:val="24"/>
          <w:szCs w:val="24"/>
        </w:rPr>
        <w:t xml:space="preserve">     FSJ has been established as</w:t>
      </w:r>
      <w:r w:rsidR="002B6454" w:rsidRPr="001F5897">
        <w:rPr>
          <w:sz w:val="24"/>
          <w:szCs w:val="24"/>
        </w:rPr>
        <w:t xml:space="preserve"> a </w:t>
      </w:r>
      <w:r w:rsidRPr="001F5897">
        <w:rPr>
          <w:sz w:val="24"/>
          <w:szCs w:val="24"/>
        </w:rPr>
        <w:t xml:space="preserve">central national financial intelligence unit (thereinafter referred to as “FIU”) and </w:t>
      </w:r>
      <w:r w:rsidR="005A0D5E" w:rsidRPr="001F5897">
        <w:rPr>
          <w:sz w:val="24"/>
          <w:szCs w:val="24"/>
        </w:rPr>
        <w:t>is a</w:t>
      </w:r>
      <w:r w:rsidRPr="001F5897">
        <w:rPr>
          <w:sz w:val="24"/>
          <w:szCs w:val="24"/>
        </w:rPr>
        <w:t xml:space="preserve"> member of the worldwide net of FIUs. The main task of FIUs is to apply the international standards drawn up by the Financial Action Task Force (thereinafter referred to as “FATF”) in the area of </w:t>
      </w:r>
      <w:r w:rsidR="005A0D5E" w:rsidRPr="001F5897">
        <w:rPr>
          <w:sz w:val="24"/>
          <w:szCs w:val="24"/>
        </w:rPr>
        <w:t>fighting</w:t>
      </w:r>
      <w:r w:rsidRPr="001F5897">
        <w:rPr>
          <w:sz w:val="24"/>
          <w:szCs w:val="24"/>
        </w:rPr>
        <w:t xml:space="preserve"> money laundering and terrorist financing. </w:t>
      </w:r>
    </w:p>
    <w:p w14:paraId="5B492584" w14:textId="77777777" w:rsidR="001A3432" w:rsidRPr="001F5897" w:rsidRDefault="001A3432" w:rsidP="001A3432">
      <w:pPr>
        <w:rPr>
          <w:sz w:val="24"/>
          <w:szCs w:val="24"/>
        </w:rPr>
      </w:pPr>
    </w:p>
    <w:p w14:paraId="20313051" w14:textId="3636EB70" w:rsidR="00AE3F65" w:rsidRPr="001F5897" w:rsidRDefault="001724FA" w:rsidP="001A3432">
      <w:pPr>
        <w:rPr>
          <w:sz w:val="24"/>
          <w:szCs w:val="24"/>
        </w:rPr>
      </w:pPr>
      <w:r w:rsidRPr="001F5897">
        <w:rPr>
          <w:sz w:val="24"/>
          <w:szCs w:val="24"/>
        </w:rPr>
        <w:t xml:space="preserve">     </w:t>
      </w:r>
      <w:r w:rsidR="005A0D5E" w:rsidRPr="001F5897">
        <w:rPr>
          <w:sz w:val="24"/>
          <w:szCs w:val="24"/>
        </w:rPr>
        <w:t>The t</w:t>
      </w:r>
      <w:r w:rsidRPr="001F5897">
        <w:rPr>
          <w:sz w:val="24"/>
          <w:szCs w:val="24"/>
        </w:rPr>
        <w:t>ask</w:t>
      </w:r>
      <w:r w:rsidR="001A3432" w:rsidRPr="001F5897">
        <w:rPr>
          <w:sz w:val="24"/>
          <w:szCs w:val="24"/>
        </w:rPr>
        <w:t>s</w:t>
      </w:r>
      <w:r w:rsidRPr="001F5897">
        <w:rPr>
          <w:sz w:val="24"/>
          <w:szCs w:val="24"/>
        </w:rPr>
        <w:t xml:space="preserve"> and competences of FSJ </w:t>
      </w:r>
      <w:r w:rsidR="00A27404" w:rsidRPr="001F5897">
        <w:rPr>
          <w:sz w:val="24"/>
          <w:szCs w:val="24"/>
        </w:rPr>
        <w:t xml:space="preserve">which </w:t>
      </w:r>
      <w:r w:rsidRPr="001F5897">
        <w:rPr>
          <w:sz w:val="24"/>
          <w:szCs w:val="24"/>
        </w:rPr>
        <w:t xml:space="preserve">are defined </w:t>
      </w:r>
      <w:r w:rsidR="005D6B69" w:rsidRPr="001F5897">
        <w:rPr>
          <w:sz w:val="24"/>
          <w:szCs w:val="24"/>
        </w:rPr>
        <w:t>through the</w:t>
      </w:r>
      <w:r w:rsidRPr="001F5897">
        <w:rPr>
          <w:sz w:val="24"/>
          <w:szCs w:val="24"/>
        </w:rPr>
        <w:t xml:space="preserve"> AML Law </w:t>
      </w:r>
      <w:r w:rsidR="00A27404" w:rsidRPr="001F5897">
        <w:rPr>
          <w:sz w:val="24"/>
          <w:szCs w:val="24"/>
        </w:rPr>
        <w:t>were</w:t>
      </w:r>
      <w:r w:rsidRPr="001F5897">
        <w:rPr>
          <w:sz w:val="24"/>
          <w:szCs w:val="24"/>
        </w:rPr>
        <w:t xml:space="preserve"> </w:t>
      </w:r>
      <w:r w:rsidR="005A0D5E" w:rsidRPr="001F5897">
        <w:rPr>
          <w:sz w:val="24"/>
          <w:szCs w:val="24"/>
        </w:rPr>
        <w:t>established</w:t>
      </w:r>
      <w:r w:rsidRPr="001F5897">
        <w:rPr>
          <w:sz w:val="24"/>
          <w:szCs w:val="24"/>
        </w:rPr>
        <w:t xml:space="preserve"> by Directive </w:t>
      </w:r>
      <w:r w:rsidR="00993083" w:rsidRPr="001F5897">
        <w:rPr>
          <w:sz w:val="24"/>
          <w:szCs w:val="24"/>
        </w:rPr>
        <w:t>No. 2005/60/EC and Directive No. 206/70/EC and resulted from</w:t>
      </w:r>
      <w:r w:rsidR="005A0D5E" w:rsidRPr="001F5897">
        <w:rPr>
          <w:sz w:val="24"/>
          <w:szCs w:val="24"/>
        </w:rPr>
        <w:t xml:space="preserve"> </w:t>
      </w:r>
      <w:proofErr w:type="gramStart"/>
      <w:r w:rsidR="005A0D5E" w:rsidRPr="001F5897">
        <w:rPr>
          <w:sz w:val="24"/>
          <w:szCs w:val="24"/>
        </w:rPr>
        <w:t>The</w:t>
      </w:r>
      <w:proofErr w:type="gramEnd"/>
      <w:r w:rsidR="00993083" w:rsidRPr="001F5897">
        <w:rPr>
          <w:sz w:val="24"/>
          <w:szCs w:val="24"/>
        </w:rPr>
        <w:t xml:space="preserve"> </w:t>
      </w:r>
      <w:r w:rsidR="005A0D5E" w:rsidRPr="001F5897">
        <w:rPr>
          <w:sz w:val="24"/>
          <w:szCs w:val="24"/>
        </w:rPr>
        <w:t>c</w:t>
      </w:r>
      <w:r w:rsidR="00FE595A" w:rsidRPr="001F5897">
        <w:rPr>
          <w:sz w:val="24"/>
          <w:szCs w:val="24"/>
        </w:rPr>
        <w:t>o</w:t>
      </w:r>
      <w:r w:rsidR="00993083" w:rsidRPr="001F5897">
        <w:rPr>
          <w:sz w:val="24"/>
          <w:szCs w:val="24"/>
        </w:rPr>
        <w:t>nvention on laundering, search, seizure and confiscation of the proceeds from crime from</w:t>
      </w:r>
      <w:r w:rsidR="00A27404" w:rsidRPr="001F5897">
        <w:rPr>
          <w:sz w:val="24"/>
          <w:szCs w:val="24"/>
        </w:rPr>
        <w:t xml:space="preserve"> the year</w:t>
      </w:r>
      <w:r w:rsidR="00993083" w:rsidRPr="001F5897">
        <w:rPr>
          <w:sz w:val="24"/>
          <w:szCs w:val="24"/>
        </w:rPr>
        <w:t xml:space="preserve"> 2005. Directive No. 2005/60/EC defined the framework of powers and appropriate responsibilities of the national intelligence unit, which allows to retain one of the fundamental principle</w:t>
      </w:r>
      <w:r w:rsidR="00AC2457" w:rsidRPr="001F5897">
        <w:rPr>
          <w:sz w:val="24"/>
          <w:szCs w:val="24"/>
        </w:rPr>
        <w:t>s</w:t>
      </w:r>
      <w:r w:rsidR="00993083" w:rsidRPr="001F5897">
        <w:rPr>
          <w:sz w:val="24"/>
          <w:szCs w:val="24"/>
        </w:rPr>
        <w:t xml:space="preserve"> of the system of prevention </w:t>
      </w:r>
      <w:r w:rsidR="00AC2457" w:rsidRPr="001F5897">
        <w:rPr>
          <w:sz w:val="24"/>
          <w:szCs w:val="24"/>
        </w:rPr>
        <w:t xml:space="preserve">of </w:t>
      </w:r>
      <w:r w:rsidR="00993083" w:rsidRPr="001F5897">
        <w:rPr>
          <w:sz w:val="24"/>
          <w:szCs w:val="24"/>
        </w:rPr>
        <w:t xml:space="preserve">money laundering and terrorist financing. </w:t>
      </w:r>
      <w:r w:rsidR="0046170E" w:rsidRPr="001F5897">
        <w:rPr>
          <w:sz w:val="24"/>
          <w:szCs w:val="24"/>
        </w:rPr>
        <w:t>This</w:t>
      </w:r>
      <w:r w:rsidR="00993083" w:rsidRPr="001F5897">
        <w:rPr>
          <w:sz w:val="24"/>
          <w:szCs w:val="24"/>
        </w:rPr>
        <w:t xml:space="preserve"> principle is </w:t>
      </w:r>
      <w:r w:rsidR="00AC2457" w:rsidRPr="001F5897">
        <w:rPr>
          <w:sz w:val="24"/>
          <w:szCs w:val="24"/>
        </w:rPr>
        <w:t xml:space="preserve">the </w:t>
      </w:r>
      <w:r w:rsidR="00993083" w:rsidRPr="001F5897">
        <w:rPr>
          <w:sz w:val="24"/>
          <w:szCs w:val="24"/>
        </w:rPr>
        <w:t>protection of information and intelligence which is rece</w:t>
      </w:r>
      <w:r w:rsidR="00972252" w:rsidRPr="001F5897">
        <w:rPr>
          <w:sz w:val="24"/>
          <w:szCs w:val="24"/>
        </w:rPr>
        <w:t>ived by FSJ from obliged entities. It could be considered as one of the ultimate element</w:t>
      </w:r>
      <w:r w:rsidR="00AC2457" w:rsidRPr="001F5897">
        <w:rPr>
          <w:sz w:val="24"/>
          <w:szCs w:val="24"/>
        </w:rPr>
        <w:t>s</w:t>
      </w:r>
      <w:r w:rsidR="00972252" w:rsidRPr="001F5897">
        <w:rPr>
          <w:sz w:val="24"/>
          <w:szCs w:val="24"/>
        </w:rPr>
        <w:t xml:space="preserve"> </w:t>
      </w:r>
      <w:r w:rsidR="00F85A89" w:rsidRPr="001F5897">
        <w:rPr>
          <w:sz w:val="24"/>
          <w:szCs w:val="24"/>
        </w:rPr>
        <w:t>of confidentiality among obliged entities and FSJ as well as among obliged entities</w:t>
      </w:r>
      <w:r w:rsidR="00A41291" w:rsidRPr="001F5897">
        <w:rPr>
          <w:sz w:val="24"/>
          <w:szCs w:val="24"/>
        </w:rPr>
        <w:t xml:space="preserve"> and their clients. </w:t>
      </w:r>
    </w:p>
    <w:p w14:paraId="1A175477" w14:textId="77777777" w:rsidR="00AE3F65" w:rsidRPr="001F5897" w:rsidRDefault="00AE3F65" w:rsidP="001A3432">
      <w:pPr>
        <w:rPr>
          <w:sz w:val="24"/>
          <w:szCs w:val="24"/>
        </w:rPr>
      </w:pPr>
    </w:p>
    <w:p w14:paraId="0C10262F" w14:textId="77777777" w:rsidR="00AE3F65" w:rsidRPr="001F5897" w:rsidRDefault="00AE3F65" w:rsidP="001A3432">
      <w:pPr>
        <w:rPr>
          <w:sz w:val="24"/>
          <w:szCs w:val="24"/>
        </w:rPr>
      </w:pPr>
      <w:r w:rsidRPr="001F5897">
        <w:rPr>
          <w:sz w:val="24"/>
          <w:szCs w:val="24"/>
        </w:rPr>
        <w:t xml:space="preserve">     </w:t>
      </w:r>
      <w:r w:rsidR="0046170E" w:rsidRPr="001F5897">
        <w:rPr>
          <w:sz w:val="24"/>
          <w:szCs w:val="24"/>
        </w:rPr>
        <w:t xml:space="preserve">The </w:t>
      </w:r>
      <w:r w:rsidRPr="001F5897">
        <w:rPr>
          <w:sz w:val="24"/>
          <w:szCs w:val="24"/>
        </w:rPr>
        <w:t xml:space="preserve">AML Law defines the position of FSJ as </w:t>
      </w:r>
      <w:r w:rsidR="0046170E" w:rsidRPr="001F5897">
        <w:rPr>
          <w:sz w:val="24"/>
          <w:szCs w:val="24"/>
        </w:rPr>
        <w:t xml:space="preserve">the </w:t>
      </w:r>
      <w:r w:rsidRPr="001F5897">
        <w:rPr>
          <w:sz w:val="24"/>
          <w:szCs w:val="24"/>
        </w:rPr>
        <w:t>central national unit for the area of prevention and detection of legalization of proceeds from criminal activity and terrorist financing, what means that FSJ is primarily focused on receiving, recording, analysing, evaluating and processing of UTRs.</w:t>
      </w:r>
    </w:p>
    <w:p w14:paraId="6295A174" w14:textId="77777777" w:rsidR="00AE3F65" w:rsidRPr="001F5897" w:rsidRDefault="00AE3F65" w:rsidP="001A3432">
      <w:pPr>
        <w:rPr>
          <w:sz w:val="24"/>
          <w:szCs w:val="24"/>
        </w:rPr>
      </w:pPr>
    </w:p>
    <w:p w14:paraId="2F764D2B" w14:textId="77777777" w:rsidR="00FC2686" w:rsidRDefault="00FC2686" w:rsidP="001A3432">
      <w:pPr>
        <w:rPr>
          <w:sz w:val="24"/>
          <w:szCs w:val="24"/>
        </w:rPr>
      </w:pPr>
    </w:p>
    <w:p w14:paraId="215FCAD1" w14:textId="77777777" w:rsidR="00AE3F65" w:rsidRPr="001F5897" w:rsidRDefault="00AE3F65" w:rsidP="001A3432">
      <w:pPr>
        <w:rPr>
          <w:sz w:val="24"/>
          <w:szCs w:val="24"/>
        </w:rPr>
      </w:pPr>
      <w:r w:rsidRPr="001F5897">
        <w:rPr>
          <w:sz w:val="24"/>
          <w:szCs w:val="24"/>
        </w:rPr>
        <w:lastRenderedPageBreak/>
        <w:t xml:space="preserve">FSJ consists of five departments: </w:t>
      </w:r>
    </w:p>
    <w:p w14:paraId="72F46813" w14:textId="77777777" w:rsidR="00AE3F65" w:rsidRPr="001F5897" w:rsidRDefault="00AE3F65" w:rsidP="001A3432">
      <w:pPr>
        <w:pStyle w:val="Odsekzoznamu"/>
        <w:numPr>
          <w:ilvl w:val="0"/>
          <w:numId w:val="3"/>
        </w:numPr>
        <w:spacing w:after="0" w:line="240" w:lineRule="auto"/>
        <w:rPr>
          <w:szCs w:val="24"/>
        </w:rPr>
      </w:pPr>
      <w:r w:rsidRPr="001F5897">
        <w:rPr>
          <w:szCs w:val="24"/>
        </w:rPr>
        <w:t>Unusual Transactions´ Department,</w:t>
      </w:r>
    </w:p>
    <w:p w14:paraId="25498AEE" w14:textId="77777777" w:rsidR="00AE3F65" w:rsidRPr="001F5897" w:rsidRDefault="00AE3F65" w:rsidP="001A3432">
      <w:pPr>
        <w:pStyle w:val="Odsekzoznamu"/>
        <w:numPr>
          <w:ilvl w:val="0"/>
          <w:numId w:val="3"/>
        </w:numPr>
        <w:spacing w:after="0" w:line="240" w:lineRule="auto"/>
        <w:rPr>
          <w:szCs w:val="24"/>
        </w:rPr>
      </w:pPr>
      <w:r w:rsidRPr="001F5897">
        <w:rPr>
          <w:szCs w:val="24"/>
        </w:rPr>
        <w:t>Obliged Entities´ Control Department,</w:t>
      </w:r>
    </w:p>
    <w:p w14:paraId="116380D7" w14:textId="77777777" w:rsidR="00AE3F65" w:rsidRPr="001F5897" w:rsidRDefault="00AE3F65" w:rsidP="001A3432">
      <w:pPr>
        <w:pStyle w:val="Odsekzoznamu"/>
        <w:numPr>
          <w:ilvl w:val="0"/>
          <w:numId w:val="3"/>
        </w:numPr>
        <w:spacing w:after="0" w:line="240" w:lineRule="auto"/>
        <w:rPr>
          <w:szCs w:val="24"/>
        </w:rPr>
      </w:pPr>
      <w:r w:rsidRPr="001F5897">
        <w:rPr>
          <w:szCs w:val="24"/>
        </w:rPr>
        <w:t>Property Check-up Department,</w:t>
      </w:r>
    </w:p>
    <w:p w14:paraId="31526A4F" w14:textId="77777777" w:rsidR="00AE3F65" w:rsidRPr="001F5897" w:rsidRDefault="00AE3F65" w:rsidP="001A3432">
      <w:pPr>
        <w:pStyle w:val="Odsekzoznamu"/>
        <w:numPr>
          <w:ilvl w:val="0"/>
          <w:numId w:val="3"/>
        </w:numPr>
        <w:spacing w:after="0" w:line="240" w:lineRule="auto"/>
        <w:rPr>
          <w:szCs w:val="24"/>
        </w:rPr>
      </w:pPr>
      <w:r w:rsidRPr="001F5897">
        <w:rPr>
          <w:szCs w:val="24"/>
        </w:rPr>
        <w:t>International Cooperation Department,</w:t>
      </w:r>
    </w:p>
    <w:p w14:paraId="41C52700" w14:textId="77777777" w:rsidR="00AE3F65" w:rsidRPr="001F5897" w:rsidRDefault="00AE3F65" w:rsidP="001A3432">
      <w:pPr>
        <w:pStyle w:val="Odsekzoznamu"/>
        <w:numPr>
          <w:ilvl w:val="0"/>
          <w:numId w:val="3"/>
        </w:numPr>
        <w:spacing w:after="0" w:line="240" w:lineRule="auto"/>
        <w:rPr>
          <w:szCs w:val="24"/>
        </w:rPr>
      </w:pPr>
      <w:r w:rsidRPr="001F5897">
        <w:rPr>
          <w:szCs w:val="24"/>
        </w:rPr>
        <w:t>Analytical Department.</w:t>
      </w:r>
    </w:p>
    <w:p w14:paraId="4EFCB911" w14:textId="07DCB494" w:rsidR="001F5897" w:rsidRDefault="00AE3F65" w:rsidP="003C161E">
      <w:pPr>
        <w:spacing w:after="120"/>
        <w:rPr>
          <w:b/>
        </w:rPr>
      </w:pPr>
      <w:r w:rsidRPr="001F5897">
        <w:rPr>
          <w:sz w:val="24"/>
          <w:szCs w:val="24"/>
        </w:rPr>
        <w:t xml:space="preserve">    </w:t>
      </w:r>
      <w:bookmarkStart w:id="1" w:name="_Toc412466384"/>
    </w:p>
    <w:p w14:paraId="3326888A" w14:textId="77777777" w:rsidR="00B712B6" w:rsidRPr="001F5897" w:rsidRDefault="00B712B6" w:rsidP="001F5897">
      <w:pPr>
        <w:pStyle w:val="Nzovkapitoly"/>
      </w:pPr>
      <w:r w:rsidRPr="001F5897">
        <w:t xml:space="preserve">2. </w:t>
      </w:r>
      <w:bookmarkEnd w:id="1"/>
      <w:r w:rsidR="00641257" w:rsidRPr="001F5897">
        <w:t>Unusual Transactions</w:t>
      </w:r>
    </w:p>
    <w:p w14:paraId="6850D72B" w14:textId="77777777" w:rsidR="00F8567B" w:rsidRPr="001F5897" w:rsidRDefault="00F8567B" w:rsidP="00F8567B">
      <w:pPr>
        <w:rPr>
          <w:rFonts w:eastAsiaTheme="minorHAnsi" w:cstheme="minorBidi"/>
          <w:sz w:val="24"/>
          <w:szCs w:val="24"/>
          <w:lang w:eastAsia="en-US"/>
        </w:rPr>
      </w:pPr>
    </w:p>
    <w:p w14:paraId="005B7FF1" w14:textId="3FE26781" w:rsidR="00B712B6" w:rsidRPr="001F5897" w:rsidRDefault="00F8567B" w:rsidP="00F8567B">
      <w:pPr>
        <w:rPr>
          <w:rFonts w:eastAsiaTheme="minorHAnsi" w:cstheme="minorBidi"/>
          <w:sz w:val="24"/>
          <w:szCs w:val="24"/>
          <w:lang w:eastAsia="en-US"/>
        </w:rPr>
      </w:pPr>
      <w:r w:rsidRPr="001F5897">
        <w:rPr>
          <w:rFonts w:eastAsiaTheme="minorHAnsi" w:cstheme="minorBidi"/>
          <w:sz w:val="24"/>
          <w:szCs w:val="24"/>
          <w:lang w:eastAsia="en-US"/>
        </w:rPr>
        <w:t xml:space="preserve">     AML Law defines the Unusual Transaction as a legal act or other act which indicates that its execution may enable </w:t>
      </w:r>
      <w:r w:rsidR="00AC2457" w:rsidRPr="001F5897">
        <w:rPr>
          <w:rFonts w:eastAsiaTheme="minorHAnsi" w:cstheme="minorBidi"/>
          <w:sz w:val="24"/>
          <w:szCs w:val="24"/>
          <w:lang w:eastAsia="en-US"/>
        </w:rPr>
        <w:t xml:space="preserve">the </w:t>
      </w:r>
      <w:r w:rsidRPr="001F5897">
        <w:rPr>
          <w:rFonts w:eastAsiaTheme="minorHAnsi" w:cstheme="minorBidi"/>
          <w:sz w:val="24"/>
          <w:szCs w:val="24"/>
          <w:lang w:eastAsia="en-US"/>
        </w:rPr>
        <w:t xml:space="preserve">legalization of proceeds of criminal activity or terrorist financing. Section 4 of the AML Law includes the most frequent range of unusual transactions. It is a demonstrative list of Unusual Transactions that were elaborated on the basis of systematic </w:t>
      </w:r>
      <w:r w:rsidR="000A5069" w:rsidRPr="001F5897">
        <w:rPr>
          <w:rFonts w:eastAsiaTheme="minorHAnsi" w:cstheme="minorBidi"/>
          <w:sz w:val="24"/>
          <w:szCs w:val="24"/>
          <w:lang w:eastAsia="en-US"/>
        </w:rPr>
        <w:t>analysis</w:t>
      </w:r>
      <w:r w:rsidRPr="001F5897">
        <w:rPr>
          <w:rFonts w:eastAsiaTheme="minorHAnsi" w:cstheme="minorBidi"/>
          <w:sz w:val="24"/>
          <w:szCs w:val="24"/>
          <w:lang w:eastAsia="en-US"/>
        </w:rPr>
        <w:t xml:space="preserve"> </w:t>
      </w:r>
      <w:r w:rsidR="000A5069" w:rsidRPr="001F5897">
        <w:rPr>
          <w:rFonts w:eastAsiaTheme="minorHAnsi" w:cstheme="minorBidi"/>
          <w:sz w:val="24"/>
          <w:szCs w:val="24"/>
          <w:lang w:eastAsia="en-US"/>
        </w:rPr>
        <w:t>of particular UTRs and generalization of information acquired within evaluation of business transactions based on the KYC</w:t>
      </w:r>
      <w:r w:rsidR="00EC4D7C" w:rsidRPr="001F5897">
        <w:rPr>
          <w:rFonts w:eastAsiaTheme="minorHAnsi" w:cstheme="minorBidi"/>
          <w:sz w:val="24"/>
          <w:szCs w:val="24"/>
          <w:lang w:eastAsia="en-US"/>
        </w:rPr>
        <w:t xml:space="preserve"> (know your customer)</w:t>
      </w:r>
      <w:r w:rsidR="000A5069" w:rsidRPr="001F5897">
        <w:rPr>
          <w:rFonts w:eastAsiaTheme="minorHAnsi" w:cstheme="minorBidi"/>
          <w:sz w:val="24"/>
          <w:szCs w:val="24"/>
          <w:lang w:eastAsia="en-US"/>
        </w:rPr>
        <w:t xml:space="preserve"> principle. </w:t>
      </w:r>
    </w:p>
    <w:p w14:paraId="5147E291" w14:textId="77777777" w:rsidR="00EC4D7C" w:rsidRPr="001F5897" w:rsidRDefault="00EC4D7C" w:rsidP="00F8567B">
      <w:pPr>
        <w:rPr>
          <w:rFonts w:eastAsiaTheme="minorHAnsi" w:cstheme="minorBidi"/>
          <w:sz w:val="24"/>
          <w:szCs w:val="24"/>
          <w:lang w:eastAsia="en-US"/>
        </w:rPr>
      </w:pPr>
    </w:p>
    <w:p w14:paraId="4DCBC059" w14:textId="223029A6" w:rsidR="00EC4D7C" w:rsidRPr="001F5897" w:rsidRDefault="00EC4D7C" w:rsidP="00F8567B">
      <w:pPr>
        <w:rPr>
          <w:rFonts w:eastAsiaTheme="minorHAnsi" w:cstheme="minorBidi"/>
          <w:sz w:val="24"/>
          <w:szCs w:val="24"/>
          <w:lang w:eastAsia="en-US"/>
        </w:rPr>
      </w:pPr>
      <w:r w:rsidRPr="001F5897">
        <w:rPr>
          <w:rFonts w:eastAsiaTheme="minorHAnsi" w:cstheme="minorBidi"/>
          <w:sz w:val="24"/>
          <w:szCs w:val="24"/>
          <w:lang w:eastAsia="en-US"/>
        </w:rPr>
        <w:t xml:space="preserve">     In the case when facts resulting from particular UTRs indicate that a criminal offence has been committed, or </w:t>
      </w:r>
      <w:r w:rsidR="005C1077" w:rsidRPr="001F5897">
        <w:rPr>
          <w:rFonts w:eastAsiaTheme="minorHAnsi" w:cstheme="minorBidi"/>
          <w:sz w:val="24"/>
          <w:szCs w:val="24"/>
          <w:lang w:eastAsia="en-US"/>
        </w:rPr>
        <w:t>its execution may hamper or substantially impede seizure of proceeds of criminal activity or if the verified information relates to</w:t>
      </w:r>
      <w:r w:rsidR="00AC2457" w:rsidRPr="001F5897">
        <w:rPr>
          <w:rFonts w:eastAsiaTheme="minorHAnsi" w:cstheme="minorBidi"/>
          <w:sz w:val="24"/>
          <w:szCs w:val="24"/>
          <w:lang w:eastAsia="en-US"/>
        </w:rPr>
        <w:t xml:space="preserve"> an</w:t>
      </w:r>
      <w:r w:rsidR="005C1077" w:rsidRPr="001F5897">
        <w:rPr>
          <w:rFonts w:eastAsiaTheme="minorHAnsi" w:cstheme="minorBidi"/>
          <w:sz w:val="24"/>
          <w:szCs w:val="24"/>
          <w:lang w:eastAsia="en-US"/>
        </w:rPr>
        <w:t xml:space="preserve"> on-going criminal proceeding and such information could be considered as important for this proceeding, this information </w:t>
      </w:r>
      <w:r w:rsidR="00AC2457" w:rsidRPr="001F5897">
        <w:rPr>
          <w:rFonts w:eastAsiaTheme="minorHAnsi" w:cstheme="minorBidi"/>
          <w:sz w:val="24"/>
          <w:szCs w:val="24"/>
          <w:lang w:eastAsia="en-US"/>
        </w:rPr>
        <w:t xml:space="preserve">is </w:t>
      </w:r>
      <w:r w:rsidR="005C1077" w:rsidRPr="001F5897">
        <w:rPr>
          <w:rFonts w:eastAsiaTheme="minorHAnsi" w:cstheme="minorBidi"/>
          <w:sz w:val="24"/>
          <w:szCs w:val="24"/>
          <w:lang w:eastAsia="en-US"/>
        </w:rPr>
        <w:t xml:space="preserve">submitted to the relevant law enforcement authorities or to the relevant unit of the Slovak Police Force in order to fulfil tasks </w:t>
      </w:r>
      <w:r w:rsidR="004B00E8" w:rsidRPr="001F5897">
        <w:rPr>
          <w:rFonts w:eastAsiaTheme="minorHAnsi" w:cstheme="minorBidi"/>
          <w:sz w:val="24"/>
          <w:szCs w:val="24"/>
          <w:lang w:eastAsia="en-US"/>
        </w:rPr>
        <w:t>pursuant</w:t>
      </w:r>
      <w:r w:rsidR="005C1077" w:rsidRPr="001F5897">
        <w:rPr>
          <w:rFonts w:eastAsiaTheme="minorHAnsi" w:cstheme="minorBidi"/>
          <w:sz w:val="24"/>
          <w:szCs w:val="24"/>
          <w:lang w:eastAsia="en-US"/>
        </w:rPr>
        <w:t xml:space="preserve"> to the Act on the Police Force. </w:t>
      </w:r>
      <w:r w:rsidR="00AC2457" w:rsidRPr="001F5897">
        <w:rPr>
          <w:rFonts w:eastAsiaTheme="minorHAnsi" w:cstheme="minorBidi"/>
          <w:sz w:val="24"/>
          <w:szCs w:val="24"/>
          <w:lang w:eastAsia="en-US"/>
        </w:rPr>
        <w:t>As part of the execution</w:t>
      </w:r>
      <w:r w:rsidR="005C1077" w:rsidRPr="001F5897">
        <w:rPr>
          <w:rFonts w:eastAsiaTheme="minorHAnsi" w:cstheme="minorBidi"/>
          <w:sz w:val="24"/>
          <w:szCs w:val="24"/>
          <w:lang w:eastAsia="en-US"/>
        </w:rPr>
        <w:t xml:space="preserve"> official tasks and cooperation especially in the exchange and verification of information necessary to prevent and detect legalization and terr</w:t>
      </w:r>
      <w:r w:rsidR="000E6F1C" w:rsidRPr="001F5897">
        <w:rPr>
          <w:rFonts w:eastAsiaTheme="minorHAnsi" w:cstheme="minorBidi"/>
          <w:sz w:val="24"/>
          <w:szCs w:val="24"/>
          <w:lang w:eastAsia="en-US"/>
        </w:rPr>
        <w:t xml:space="preserve">orist financing such information might be submitted to foreign FIUs as well. If the officer of Unusual Transaction Department </w:t>
      </w:r>
      <w:r w:rsidR="00AC2457" w:rsidRPr="001F5897">
        <w:rPr>
          <w:rFonts w:eastAsiaTheme="minorHAnsi" w:cstheme="minorBidi"/>
          <w:sz w:val="24"/>
          <w:szCs w:val="24"/>
          <w:lang w:eastAsia="en-US"/>
        </w:rPr>
        <w:t>finds</w:t>
      </w:r>
      <w:r w:rsidR="000E6F1C" w:rsidRPr="001F5897">
        <w:rPr>
          <w:rFonts w:eastAsiaTheme="minorHAnsi" w:cstheme="minorBidi"/>
          <w:sz w:val="24"/>
          <w:szCs w:val="24"/>
          <w:lang w:eastAsia="en-US"/>
        </w:rPr>
        <w:t xml:space="preserve"> out that an obliged entity does not comply </w:t>
      </w:r>
      <w:r w:rsidR="00D27D22" w:rsidRPr="001F5897">
        <w:rPr>
          <w:rFonts w:eastAsiaTheme="minorHAnsi" w:cstheme="minorBidi"/>
          <w:sz w:val="24"/>
          <w:szCs w:val="24"/>
          <w:lang w:eastAsia="en-US"/>
        </w:rPr>
        <w:t>with</w:t>
      </w:r>
      <w:r w:rsidR="000E6F1C" w:rsidRPr="001F5897">
        <w:rPr>
          <w:rFonts w:eastAsiaTheme="minorHAnsi" w:cstheme="minorBidi"/>
          <w:sz w:val="24"/>
          <w:szCs w:val="24"/>
          <w:lang w:eastAsia="en-US"/>
        </w:rPr>
        <w:t xml:space="preserve"> obligations laid down by the AML Law, or information is relevant in order to perform verification of property, such information is submitted to Obliged Entities Control Department, or Property Check-up Department. </w:t>
      </w:r>
    </w:p>
    <w:p w14:paraId="1C9EFF3C" w14:textId="77777777" w:rsidR="000E6F1C" w:rsidRPr="001F5897" w:rsidRDefault="000E6F1C" w:rsidP="00F8567B">
      <w:pPr>
        <w:rPr>
          <w:rFonts w:eastAsiaTheme="minorHAnsi" w:cstheme="minorBidi"/>
          <w:sz w:val="24"/>
          <w:szCs w:val="24"/>
          <w:lang w:eastAsia="en-US"/>
        </w:rPr>
      </w:pPr>
    </w:p>
    <w:p w14:paraId="1AB25FAA" w14:textId="5985D915" w:rsidR="000E6F1C" w:rsidRPr="001F5897" w:rsidRDefault="000E6F1C" w:rsidP="00F8567B">
      <w:pPr>
        <w:rPr>
          <w:rFonts w:eastAsiaTheme="minorHAnsi" w:cstheme="minorBidi"/>
          <w:sz w:val="24"/>
          <w:szCs w:val="24"/>
          <w:lang w:eastAsia="en-US"/>
        </w:rPr>
      </w:pPr>
      <w:r w:rsidRPr="001F5897">
        <w:rPr>
          <w:rFonts w:eastAsiaTheme="minorHAnsi" w:cstheme="minorBidi"/>
          <w:sz w:val="24"/>
          <w:szCs w:val="24"/>
          <w:lang w:eastAsia="en-US"/>
        </w:rPr>
        <w:t xml:space="preserve">     </w:t>
      </w:r>
      <w:r w:rsidR="004B2CE2" w:rsidRPr="001F5897">
        <w:rPr>
          <w:rFonts w:eastAsiaTheme="minorHAnsi" w:cstheme="minorBidi"/>
          <w:sz w:val="24"/>
          <w:szCs w:val="24"/>
          <w:lang w:eastAsia="en-US"/>
        </w:rPr>
        <w:t xml:space="preserve">If </w:t>
      </w:r>
      <w:r w:rsidR="00AC2457" w:rsidRPr="001F5897">
        <w:rPr>
          <w:rFonts w:eastAsiaTheme="minorHAnsi" w:cstheme="minorBidi"/>
          <w:sz w:val="24"/>
          <w:szCs w:val="24"/>
          <w:lang w:eastAsia="en-US"/>
        </w:rPr>
        <w:t xml:space="preserve">during the </w:t>
      </w:r>
      <w:r w:rsidR="004B2CE2" w:rsidRPr="001F5897">
        <w:rPr>
          <w:rFonts w:eastAsiaTheme="minorHAnsi" w:cstheme="minorBidi"/>
          <w:sz w:val="24"/>
          <w:szCs w:val="24"/>
          <w:lang w:eastAsia="en-US"/>
        </w:rPr>
        <w:t xml:space="preserve">verification of UTRs </w:t>
      </w:r>
      <w:r w:rsidR="00AC2457" w:rsidRPr="001F5897">
        <w:rPr>
          <w:rFonts w:eastAsiaTheme="minorHAnsi" w:cstheme="minorBidi"/>
          <w:sz w:val="24"/>
          <w:szCs w:val="24"/>
          <w:lang w:eastAsia="en-US"/>
        </w:rPr>
        <w:t xml:space="preserve">the information uncovered </w:t>
      </w:r>
      <w:r w:rsidR="00705AD5" w:rsidRPr="001F5897">
        <w:rPr>
          <w:rFonts w:eastAsiaTheme="minorHAnsi" w:cstheme="minorBidi"/>
          <w:sz w:val="24"/>
          <w:szCs w:val="24"/>
          <w:lang w:eastAsia="en-US"/>
        </w:rPr>
        <w:t>is not eligible for submission</w:t>
      </w:r>
      <w:r w:rsidR="00AC2457" w:rsidRPr="001F5897">
        <w:rPr>
          <w:rFonts w:eastAsiaTheme="minorHAnsi" w:cstheme="minorBidi"/>
          <w:sz w:val="24"/>
          <w:szCs w:val="24"/>
          <w:lang w:eastAsia="en-US"/>
        </w:rPr>
        <w:t xml:space="preserve">  </w:t>
      </w:r>
      <w:r w:rsidR="00FB09E6" w:rsidRPr="001F5897">
        <w:rPr>
          <w:rFonts w:eastAsiaTheme="minorHAnsi" w:cstheme="minorBidi"/>
          <w:sz w:val="24"/>
          <w:szCs w:val="24"/>
          <w:lang w:eastAsia="en-US"/>
        </w:rPr>
        <w:t>to the Law Enforcement Authorities, to the relevant unit of the Slovak Police Force, to the Financial Administration or foreign FIU</w:t>
      </w:r>
      <w:r w:rsidR="00436C8F" w:rsidRPr="001F5897">
        <w:rPr>
          <w:rFonts w:eastAsiaTheme="minorHAnsi" w:cstheme="minorBidi"/>
          <w:sz w:val="24"/>
          <w:szCs w:val="24"/>
          <w:lang w:eastAsia="en-US"/>
        </w:rPr>
        <w:t xml:space="preserve"> </w:t>
      </w:r>
      <w:r w:rsidR="004B2CE2" w:rsidRPr="001F5897">
        <w:rPr>
          <w:rFonts w:eastAsiaTheme="minorHAnsi" w:cstheme="minorBidi"/>
          <w:sz w:val="24"/>
          <w:szCs w:val="24"/>
          <w:lang w:eastAsia="en-US"/>
        </w:rPr>
        <w:t xml:space="preserve">such information is stored </w:t>
      </w:r>
      <w:r w:rsidR="00705AD5" w:rsidRPr="001F5897">
        <w:rPr>
          <w:rFonts w:eastAsiaTheme="minorHAnsi" w:cstheme="minorBidi"/>
          <w:sz w:val="24"/>
          <w:szCs w:val="24"/>
          <w:lang w:eastAsia="en-US"/>
        </w:rPr>
        <w:t>in the</w:t>
      </w:r>
      <w:r w:rsidR="004B2CE2" w:rsidRPr="001F5897">
        <w:rPr>
          <w:rFonts w:eastAsiaTheme="minorHAnsi" w:cstheme="minorBidi"/>
          <w:sz w:val="24"/>
          <w:szCs w:val="24"/>
          <w:lang w:eastAsia="en-US"/>
        </w:rPr>
        <w:t xml:space="preserve"> complex information system of FSJ for further utilization </w:t>
      </w:r>
      <w:r w:rsidR="00705AD5" w:rsidRPr="001F5897">
        <w:rPr>
          <w:rFonts w:eastAsiaTheme="minorHAnsi" w:cstheme="minorBidi"/>
          <w:sz w:val="24"/>
          <w:szCs w:val="24"/>
          <w:lang w:eastAsia="en-US"/>
        </w:rPr>
        <w:t>during the</w:t>
      </w:r>
      <w:r w:rsidR="004B2CE2" w:rsidRPr="001F5897">
        <w:rPr>
          <w:rFonts w:eastAsiaTheme="minorHAnsi" w:cstheme="minorBidi"/>
          <w:sz w:val="24"/>
          <w:szCs w:val="24"/>
          <w:lang w:eastAsia="en-US"/>
        </w:rPr>
        <w:t xml:space="preserve"> verification of other UTRs. </w:t>
      </w:r>
    </w:p>
    <w:p w14:paraId="480CBF72" w14:textId="77777777" w:rsidR="00B712B6" w:rsidRPr="001F5897" w:rsidRDefault="00B712B6" w:rsidP="00B712B6">
      <w:pPr>
        <w:spacing w:after="120"/>
        <w:rPr>
          <w:rFonts w:eastAsiaTheme="minorHAnsi" w:cstheme="minorBidi"/>
          <w:sz w:val="24"/>
          <w:szCs w:val="24"/>
          <w:lang w:eastAsia="en-US"/>
        </w:rPr>
      </w:pPr>
      <w:r w:rsidRPr="001F5897">
        <w:rPr>
          <w:rFonts w:eastAsiaTheme="minorHAnsi" w:cstheme="minorBidi"/>
          <w:sz w:val="24"/>
          <w:szCs w:val="24"/>
          <w:lang w:eastAsia="en-US"/>
        </w:rPr>
        <w:tab/>
        <w:t xml:space="preserve"> </w:t>
      </w:r>
    </w:p>
    <w:p w14:paraId="2C194538" w14:textId="77777777" w:rsidR="00B712B6" w:rsidRPr="001F5897" w:rsidRDefault="00B712B6" w:rsidP="00B712B6">
      <w:pPr>
        <w:pStyle w:val="Podnadpis"/>
      </w:pPr>
      <w:bookmarkStart w:id="2" w:name="_Toc412466385"/>
      <w:r w:rsidRPr="001F5897">
        <w:t xml:space="preserve">2.1 </w:t>
      </w:r>
      <w:bookmarkEnd w:id="2"/>
      <w:r w:rsidR="00641257" w:rsidRPr="001F5897">
        <w:t>Composition of Obliged Entities and statistical data on UTRs</w:t>
      </w:r>
    </w:p>
    <w:p w14:paraId="60812FC9" w14:textId="77777777" w:rsidR="00B712B6" w:rsidRPr="001F5897" w:rsidRDefault="00B712B6" w:rsidP="00B712B6">
      <w:pPr>
        <w:spacing w:after="120"/>
        <w:rPr>
          <w:rFonts w:eastAsiaTheme="minorHAnsi" w:cstheme="minorBidi"/>
          <w:sz w:val="24"/>
          <w:szCs w:val="24"/>
          <w:lang w:eastAsia="en-US"/>
        </w:rPr>
      </w:pPr>
    </w:p>
    <w:p w14:paraId="571325EF" w14:textId="4E6B182E" w:rsidR="00631BFE" w:rsidRPr="001F5897" w:rsidRDefault="00CF78EE" w:rsidP="00CF78EE">
      <w:pPr>
        <w:rPr>
          <w:sz w:val="24"/>
          <w:szCs w:val="24"/>
        </w:rPr>
      </w:pPr>
      <w:r w:rsidRPr="001F5897">
        <w:rPr>
          <w:rFonts w:eastAsiaTheme="minorHAnsi" w:cstheme="minorBidi"/>
          <w:sz w:val="24"/>
          <w:szCs w:val="24"/>
          <w:lang w:eastAsia="en-US"/>
        </w:rPr>
        <w:t xml:space="preserve">     </w:t>
      </w:r>
      <w:r w:rsidR="000240DE" w:rsidRPr="001F5897">
        <w:rPr>
          <w:rFonts w:eastAsiaTheme="minorHAnsi" w:cstheme="minorBidi"/>
          <w:sz w:val="24"/>
          <w:szCs w:val="24"/>
          <w:lang w:eastAsia="en-US"/>
        </w:rPr>
        <w:t>In 2014 FSJ received totally 3928 UTRs in</w:t>
      </w:r>
      <w:r w:rsidR="00705AD5" w:rsidRPr="001F5897">
        <w:rPr>
          <w:rFonts w:eastAsiaTheme="minorHAnsi" w:cstheme="minorBidi"/>
          <w:sz w:val="24"/>
          <w:szCs w:val="24"/>
          <w:lang w:eastAsia="en-US"/>
        </w:rPr>
        <w:t xml:space="preserve"> the</w:t>
      </w:r>
      <w:r w:rsidR="000240DE" w:rsidRPr="001F5897">
        <w:rPr>
          <w:rFonts w:eastAsiaTheme="minorHAnsi" w:cstheme="minorBidi"/>
          <w:sz w:val="24"/>
          <w:szCs w:val="24"/>
          <w:lang w:eastAsia="en-US"/>
        </w:rPr>
        <w:t xml:space="preserve"> total amount of 3.042.458.478</w:t>
      </w:r>
      <w:proofErr w:type="gramStart"/>
      <w:r w:rsidR="000240DE" w:rsidRPr="001F5897">
        <w:rPr>
          <w:rFonts w:eastAsiaTheme="minorHAnsi" w:cstheme="minorBidi"/>
          <w:sz w:val="24"/>
          <w:szCs w:val="24"/>
          <w:lang w:eastAsia="en-US"/>
        </w:rPr>
        <w:t>,-</w:t>
      </w:r>
      <w:proofErr w:type="gramEnd"/>
      <w:r w:rsidR="000240DE" w:rsidRPr="001F5897">
        <w:rPr>
          <w:rFonts w:eastAsiaTheme="minorHAnsi" w:cstheme="minorBidi"/>
          <w:sz w:val="24"/>
          <w:szCs w:val="24"/>
          <w:lang w:eastAsia="en-US"/>
        </w:rPr>
        <w:t xml:space="preserve"> EUR from all obliged entities. Because of the fact that the number of UTRs received during the mentioned period was huge, the processing and evaluating of UTRs received from obliged entities was ensured by officers of other departments</w:t>
      </w:r>
      <w:r w:rsidR="00631BFE" w:rsidRPr="001F5897">
        <w:rPr>
          <w:rFonts w:eastAsiaTheme="minorHAnsi" w:cstheme="minorBidi"/>
          <w:sz w:val="24"/>
          <w:szCs w:val="24"/>
          <w:lang w:eastAsia="en-US"/>
        </w:rPr>
        <w:t xml:space="preserve"> - </w:t>
      </w:r>
      <w:r w:rsidR="00631BFE" w:rsidRPr="001F5897">
        <w:rPr>
          <w:sz w:val="24"/>
          <w:szCs w:val="24"/>
        </w:rPr>
        <w:t>Obliged Entities´ Control Department, Property Check-up Department</w:t>
      </w:r>
      <w:r w:rsidR="00631BFE" w:rsidRPr="001F5897">
        <w:rPr>
          <w:rFonts w:eastAsiaTheme="minorHAnsi" w:cstheme="minorBidi"/>
          <w:sz w:val="24"/>
          <w:szCs w:val="24"/>
          <w:lang w:eastAsia="en-US"/>
        </w:rPr>
        <w:t xml:space="preserve">, </w:t>
      </w:r>
      <w:r w:rsidR="00631BFE" w:rsidRPr="001F5897">
        <w:rPr>
          <w:sz w:val="24"/>
          <w:szCs w:val="24"/>
        </w:rPr>
        <w:t>International Cooperation Department and Analytical Department</w:t>
      </w:r>
      <w:r w:rsidR="00631BFE" w:rsidRPr="001F5897">
        <w:rPr>
          <w:szCs w:val="24"/>
        </w:rPr>
        <w:t>,</w:t>
      </w:r>
      <w:r w:rsidR="000240DE" w:rsidRPr="001F5897">
        <w:rPr>
          <w:rFonts w:eastAsiaTheme="minorHAnsi" w:cstheme="minorBidi"/>
          <w:sz w:val="24"/>
          <w:szCs w:val="24"/>
          <w:lang w:eastAsia="en-US"/>
        </w:rPr>
        <w:t xml:space="preserve"> except of </w:t>
      </w:r>
      <w:r w:rsidR="000240DE" w:rsidRPr="001F5897">
        <w:rPr>
          <w:sz w:val="24"/>
          <w:szCs w:val="24"/>
        </w:rPr>
        <w:t>Unusual Transactions´ Department</w:t>
      </w:r>
      <w:r w:rsidR="00631BFE" w:rsidRPr="001F5897">
        <w:rPr>
          <w:sz w:val="24"/>
          <w:szCs w:val="24"/>
        </w:rPr>
        <w:t>.</w:t>
      </w:r>
    </w:p>
    <w:p w14:paraId="14A31B97" w14:textId="77777777" w:rsidR="00631BFE" w:rsidRPr="001F5897" w:rsidRDefault="00631BFE" w:rsidP="00CF78EE">
      <w:pPr>
        <w:rPr>
          <w:sz w:val="24"/>
          <w:szCs w:val="24"/>
        </w:rPr>
      </w:pPr>
    </w:p>
    <w:p w14:paraId="50663A8F" w14:textId="77777777" w:rsidR="00631BFE" w:rsidRPr="001F5897" w:rsidRDefault="00CF78EE" w:rsidP="00CF78EE">
      <w:pPr>
        <w:rPr>
          <w:sz w:val="24"/>
          <w:szCs w:val="24"/>
        </w:rPr>
      </w:pPr>
      <w:r w:rsidRPr="001F5897">
        <w:rPr>
          <w:sz w:val="24"/>
          <w:szCs w:val="24"/>
        </w:rPr>
        <w:t xml:space="preserve">     </w:t>
      </w:r>
      <w:r w:rsidR="00631BFE" w:rsidRPr="001F5897">
        <w:rPr>
          <w:sz w:val="24"/>
          <w:szCs w:val="24"/>
        </w:rPr>
        <w:t xml:space="preserve">On the basis of the character of obliged entities </w:t>
      </w:r>
      <w:r w:rsidR="00436C8F" w:rsidRPr="001F5897">
        <w:rPr>
          <w:sz w:val="24"/>
          <w:szCs w:val="24"/>
        </w:rPr>
        <w:t>laid down</w:t>
      </w:r>
      <w:r w:rsidR="00631BFE" w:rsidRPr="001F5897">
        <w:rPr>
          <w:sz w:val="24"/>
          <w:szCs w:val="24"/>
        </w:rPr>
        <w:t xml:space="preserve"> </w:t>
      </w:r>
      <w:r w:rsidR="00436C8F" w:rsidRPr="001F5897">
        <w:rPr>
          <w:sz w:val="24"/>
          <w:szCs w:val="24"/>
        </w:rPr>
        <w:t>in</w:t>
      </w:r>
      <w:r w:rsidR="00631BFE" w:rsidRPr="001F5897">
        <w:rPr>
          <w:sz w:val="24"/>
          <w:szCs w:val="24"/>
        </w:rPr>
        <w:t xml:space="preserve"> the AML Law the UTRs received during the year 2014 could be statistically divided into the three core groups:</w:t>
      </w:r>
    </w:p>
    <w:p w14:paraId="7CE15D75" w14:textId="77777777" w:rsidR="00631BFE" w:rsidRPr="001F5897" w:rsidRDefault="00436C8F" w:rsidP="00CF78EE">
      <w:pPr>
        <w:pStyle w:val="Odsekzoznamu"/>
        <w:numPr>
          <w:ilvl w:val="0"/>
          <w:numId w:val="4"/>
        </w:numPr>
        <w:spacing w:after="0" w:line="240" w:lineRule="auto"/>
        <w:rPr>
          <w:szCs w:val="24"/>
        </w:rPr>
      </w:pPr>
      <w:r w:rsidRPr="001F5897">
        <w:rPr>
          <w:szCs w:val="24"/>
        </w:rPr>
        <w:t xml:space="preserve">3378 </w:t>
      </w:r>
      <w:r w:rsidR="00631BFE" w:rsidRPr="001F5897">
        <w:rPr>
          <w:szCs w:val="24"/>
        </w:rPr>
        <w:t>UTRs received from banks actin</w:t>
      </w:r>
      <w:r w:rsidRPr="001F5897">
        <w:rPr>
          <w:szCs w:val="24"/>
        </w:rPr>
        <w:t>g</w:t>
      </w:r>
      <w:r w:rsidR="00631BFE" w:rsidRPr="001F5897">
        <w:rPr>
          <w:szCs w:val="24"/>
        </w:rPr>
        <w:t xml:space="preserve"> in the territory of the Slovak Republic including the National Bank of Slovakia, </w:t>
      </w:r>
    </w:p>
    <w:p w14:paraId="6CCB45B7" w14:textId="77777777" w:rsidR="00631BFE" w:rsidRPr="001F5897" w:rsidRDefault="00436C8F" w:rsidP="00CF78EE">
      <w:pPr>
        <w:pStyle w:val="Odsekzoznamu"/>
        <w:numPr>
          <w:ilvl w:val="0"/>
          <w:numId w:val="4"/>
        </w:numPr>
        <w:spacing w:after="0" w:line="240" w:lineRule="auto"/>
        <w:rPr>
          <w:szCs w:val="24"/>
        </w:rPr>
      </w:pPr>
      <w:r w:rsidRPr="001F5897">
        <w:rPr>
          <w:szCs w:val="24"/>
        </w:rPr>
        <w:t xml:space="preserve">395 </w:t>
      </w:r>
      <w:r w:rsidR="00631BFE" w:rsidRPr="001F5897">
        <w:rPr>
          <w:szCs w:val="24"/>
        </w:rPr>
        <w:t>UTRs received from other financial in</w:t>
      </w:r>
      <w:r w:rsidRPr="001F5897">
        <w:rPr>
          <w:szCs w:val="24"/>
        </w:rPr>
        <w:t>stitutions, other than a banks</w:t>
      </w:r>
      <w:r w:rsidR="00631BFE" w:rsidRPr="001F5897">
        <w:rPr>
          <w:szCs w:val="24"/>
        </w:rPr>
        <w:t xml:space="preserve">, </w:t>
      </w:r>
    </w:p>
    <w:p w14:paraId="4D3E7331" w14:textId="77777777" w:rsidR="00631BFE" w:rsidRPr="001F5897" w:rsidRDefault="00436C8F" w:rsidP="00CF78EE">
      <w:pPr>
        <w:pStyle w:val="Odsekzoznamu"/>
        <w:numPr>
          <w:ilvl w:val="0"/>
          <w:numId w:val="4"/>
        </w:numPr>
        <w:spacing w:after="0" w:line="240" w:lineRule="auto"/>
        <w:rPr>
          <w:szCs w:val="24"/>
        </w:rPr>
      </w:pPr>
      <w:r w:rsidRPr="001F5897">
        <w:rPr>
          <w:szCs w:val="24"/>
        </w:rPr>
        <w:lastRenderedPageBreak/>
        <w:t xml:space="preserve">155 </w:t>
      </w:r>
      <w:r w:rsidR="00631BFE" w:rsidRPr="001F5897">
        <w:rPr>
          <w:szCs w:val="24"/>
        </w:rPr>
        <w:t>UTRs received from non-financia</w:t>
      </w:r>
      <w:r w:rsidRPr="001F5897">
        <w:rPr>
          <w:szCs w:val="24"/>
        </w:rPr>
        <w:t>l institutions</w:t>
      </w:r>
      <w:r w:rsidR="00631BFE" w:rsidRPr="001F5897">
        <w:rPr>
          <w:szCs w:val="24"/>
        </w:rPr>
        <w:t>.</w:t>
      </w:r>
    </w:p>
    <w:p w14:paraId="6FD6066D" w14:textId="77777777" w:rsidR="00631BFE" w:rsidRPr="001F5897" w:rsidRDefault="00631BFE" w:rsidP="00631BFE">
      <w:pPr>
        <w:rPr>
          <w:rFonts w:eastAsiaTheme="minorHAnsi" w:cstheme="minorBidi"/>
          <w:sz w:val="24"/>
          <w:szCs w:val="24"/>
          <w:lang w:eastAsia="en-US"/>
        </w:rPr>
      </w:pPr>
    </w:p>
    <w:p w14:paraId="00C16575" w14:textId="77777777" w:rsidR="00B712B6" w:rsidRPr="001F5897" w:rsidRDefault="00B712B6" w:rsidP="00B712B6">
      <w:pPr>
        <w:spacing w:after="120"/>
        <w:jc w:val="left"/>
        <w:rPr>
          <w:rFonts w:eastAsiaTheme="minorHAnsi" w:cstheme="minorBidi"/>
          <w:lang w:eastAsia="en-US"/>
        </w:rPr>
      </w:pPr>
    </w:p>
    <w:p w14:paraId="165DF5AD" w14:textId="77777777" w:rsidR="00B712B6" w:rsidRPr="001F5897" w:rsidRDefault="00257E98" w:rsidP="00B712B6">
      <w:pPr>
        <w:spacing w:after="120"/>
        <w:jc w:val="left"/>
        <w:rPr>
          <w:rFonts w:eastAsiaTheme="minorHAnsi" w:cstheme="minorBidi"/>
          <w:sz w:val="24"/>
          <w:szCs w:val="24"/>
          <w:lang w:eastAsia="en-US"/>
        </w:rPr>
      </w:pPr>
      <w:r w:rsidRPr="001F5897">
        <w:rPr>
          <w:rFonts w:eastAsiaTheme="minorHAnsi" w:cstheme="minorBidi"/>
          <w:noProof/>
          <w:lang w:val="sk-SK"/>
        </w:rPr>
        <mc:AlternateContent>
          <mc:Choice Requires="wps">
            <w:drawing>
              <wp:anchor distT="0" distB="0" distL="114300" distR="114300" simplePos="0" relativeHeight="251659264" behindDoc="0" locked="0" layoutInCell="1" allowOverlap="1" wp14:anchorId="00C07705" wp14:editId="72A2AFCA">
                <wp:simplePos x="0" y="0"/>
                <wp:positionH relativeFrom="column">
                  <wp:posOffset>4192270</wp:posOffset>
                </wp:positionH>
                <wp:positionV relativeFrom="paragraph">
                  <wp:posOffset>1417955</wp:posOffset>
                </wp:positionV>
                <wp:extent cx="1424305" cy="158750"/>
                <wp:effectExtent l="0" t="0" r="4445" b="0"/>
                <wp:wrapNone/>
                <wp:docPr id="8" name="Blok textu 8"/>
                <wp:cNvGraphicFramePr/>
                <a:graphic xmlns:a="http://schemas.openxmlformats.org/drawingml/2006/main">
                  <a:graphicData uri="http://schemas.microsoft.com/office/word/2010/wordprocessingShape">
                    <wps:wsp>
                      <wps:cNvSpPr txBox="1"/>
                      <wps:spPr>
                        <a:xfrm>
                          <a:off x="0" y="0"/>
                          <a:ext cx="1424305"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E0463" w14:textId="77777777" w:rsidR="003C161E" w:rsidRDefault="003C161E" w:rsidP="00B712B6">
                            <w:r>
                              <w:t>Non-financial Institutions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Blok textu 8" o:spid="_x0000_s1026" type="#_x0000_t202" style="position:absolute;margin-left:330.1pt;margin-top:111.65pt;width:112.15pt;height: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" fillcolor="white [3201]" stroked="f" strokeweight=".5pt">
                <v:textbox inset="0,0,0,0">
                  <w:txbxContent>
                    <w:p w14:paraId="0C1E0463" w14:textId="77777777" w:rsidR="003C161E" w:rsidRDefault="003C161E" w:rsidP="00B712B6">
                      <w:r>
                        <w:t>Non-financial Institutions</w:t>
                      </w:r>
                    </w:p>
                  </w:txbxContent>
                </v:textbox>
              </v:shape>
            </w:pict>
          </mc:Fallback>
        </mc:AlternateContent>
      </w:r>
      <w:r w:rsidRPr="001F5897">
        <w:rPr>
          <w:rFonts w:eastAsiaTheme="minorHAnsi" w:cstheme="minorBidi"/>
          <w:noProof/>
          <w:lang w:val="sk-SK"/>
        </w:rPr>
        <mc:AlternateContent>
          <mc:Choice Requires="wps">
            <w:drawing>
              <wp:anchor distT="0" distB="0" distL="114300" distR="114300" simplePos="0" relativeHeight="251665408" behindDoc="0" locked="0" layoutInCell="1" allowOverlap="1" wp14:anchorId="663EC255" wp14:editId="10B2161E">
                <wp:simplePos x="0" y="0"/>
                <wp:positionH relativeFrom="column">
                  <wp:posOffset>4174682</wp:posOffset>
                </wp:positionH>
                <wp:positionV relativeFrom="paragraph">
                  <wp:posOffset>548669</wp:posOffset>
                </wp:positionV>
                <wp:extent cx="1424305" cy="158750"/>
                <wp:effectExtent l="0" t="0" r="4445" b="0"/>
                <wp:wrapNone/>
                <wp:docPr id="2" name="Blok textu 2"/>
                <wp:cNvGraphicFramePr/>
                <a:graphic xmlns:a="http://schemas.openxmlformats.org/drawingml/2006/main">
                  <a:graphicData uri="http://schemas.microsoft.com/office/word/2010/wordprocessingShape">
                    <wps:wsp>
                      <wps:cNvSpPr txBox="1"/>
                      <wps:spPr>
                        <a:xfrm>
                          <a:off x="0" y="0"/>
                          <a:ext cx="1424305"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97E37" w14:textId="77777777" w:rsidR="003C161E" w:rsidRDefault="003C161E" w:rsidP="00257E98">
                            <w:r>
                              <w:t>Banks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Blok textu 2" o:spid="_x0000_s1027" type="#_x0000_t202" style="position:absolute;margin-left:328.7pt;margin-top:43.2pt;width:112.15pt;height: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" fillcolor="white [3201]" stroked="f" strokeweight=".5pt">
                <v:textbox inset="0,0,0,0">
                  <w:txbxContent>
                    <w:p w14:paraId="33F97E37" w14:textId="77777777" w:rsidR="003C161E" w:rsidRDefault="003C161E" w:rsidP="00257E98">
                      <w:r>
                        <w:t>Banks</w:t>
                      </w:r>
                    </w:p>
                  </w:txbxContent>
                </v:textbox>
              </v:shape>
            </w:pict>
          </mc:Fallback>
        </mc:AlternateContent>
      </w:r>
      <w:r w:rsidRPr="001F5897">
        <w:rPr>
          <w:rFonts w:eastAsiaTheme="minorHAnsi" w:cstheme="minorBidi"/>
          <w:noProof/>
          <w:lang w:val="sk-SK"/>
        </w:rPr>
        <mc:AlternateContent>
          <mc:Choice Requires="wps">
            <w:drawing>
              <wp:anchor distT="0" distB="0" distL="114300" distR="114300" simplePos="0" relativeHeight="251663360" behindDoc="0" locked="0" layoutInCell="1" allowOverlap="1" wp14:anchorId="1B072B35" wp14:editId="7D114D78">
                <wp:simplePos x="0" y="0"/>
                <wp:positionH relativeFrom="column">
                  <wp:posOffset>4173058</wp:posOffset>
                </wp:positionH>
                <wp:positionV relativeFrom="paragraph">
                  <wp:posOffset>970915</wp:posOffset>
                </wp:positionV>
                <wp:extent cx="1424305" cy="158750"/>
                <wp:effectExtent l="0" t="0" r="4445" b="0"/>
                <wp:wrapNone/>
                <wp:docPr id="1" name="Blok textu 1"/>
                <wp:cNvGraphicFramePr/>
                <a:graphic xmlns:a="http://schemas.openxmlformats.org/drawingml/2006/main">
                  <a:graphicData uri="http://schemas.microsoft.com/office/word/2010/wordprocessingShape">
                    <wps:wsp>
                      <wps:cNvSpPr txBox="1"/>
                      <wps:spPr>
                        <a:xfrm>
                          <a:off x="0" y="0"/>
                          <a:ext cx="1424305"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238BA" w14:textId="77777777" w:rsidR="003C161E" w:rsidRDefault="003C161E" w:rsidP="00257E98">
                            <w:r>
                              <w:t>Other financial Institutions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Blok textu 1" o:spid="_x0000_s1028" type="#_x0000_t202" style="position:absolute;margin-left:328.6pt;margin-top:76.45pt;width:112.15pt;height: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" fillcolor="white [3201]" stroked="f" strokeweight=".5pt">
                <v:textbox inset="0,0,0,0">
                  <w:txbxContent>
                    <w:p w14:paraId="12E238BA" w14:textId="77777777" w:rsidR="003C161E" w:rsidRDefault="003C161E" w:rsidP="00257E98">
                      <w:r>
                        <w:t>Other financial Institutions</w:t>
                      </w:r>
                    </w:p>
                  </w:txbxContent>
                </v:textbox>
              </v:shape>
            </w:pict>
          </mc:Fallback>
        </mc:AlternateContent>
      </w:r>
      <w:r w:rsidR="00CC75D5" w:rsidRPr="001F5897">
        <w:rPr>
          <w:rFonts w:eastAsiaTheme="minorHAnsi" w:cstheme="minorBidi"/>
          <w:noProof/>
        </w:rPr>
        <w:t xml:space="preserve">Graph No. </w:t>
      </w:r>
      <w:r w:rsidR="00B712B6" w:rsidRPr="001F5897">
        <w:rPr>
          <w:rFonts w:eastAsiaTheme="minorHAnsi" w:cstheme="minorBidi"/>
          <w:lang w:eastAsia="en-US"/>
        </w:rPr>
        <w:t>1:</w:t>
      </w:r>
      <w:r w:rsidR="00CC75D5" w:rsidRPr="001F5897">
        <w:rPr>
          <w:rFonts w:eastAsiaTheme="minorHAnsi" w:cstheme="minorBidi"/>
          <w:lang w:eastAsia="en-US"/>
        </w:rPr>
        <w:t xml:space="preserve"> Total number of UTRs received in 2014</w:t>
      </w:r>
      <w:r w:rsidR="00B712B6" w:rsidRPr="001F5897">
        <w:rPr>
          <w:rFonts w:eastAsiaTheme="minorHAnsi" w:cstheme="minorBidi"/>
          <w:lang w:eastAsia="en-US"/>
        </w:rPr>
        <w:t xml:space="preserve"> </w:t>
      </w:r>
      <w:r w:rsidR="00B712B6" w:rsidRPr="001F5897">
        <w:rPr>
          <w:rFonts w:eastAsiaTheme="minorHAnsi" w:cstheme="minorBidi"/>
          <w:sz w:val="24"/>
          <w:szCs w:val="24"/>
          <w:lang w:eastAsia="en-US"/>
        </w:rPr>
        <w:t xml:space="preserve"> </w:t>
      </w:r>
      <w:r w:rsidR="00B712B6" w:rsidRPr="001F5897">
        <w:rPr>
          <w:rFonts w:eastAsiaTheme="minorHAnsi" w:cstheme="minorBidi"/>
          <w:noProof/>
          <w:sz w:val="18"/>
          <w:szCs w:val="22"/>
          <w:lang w:val="sk-SK"/>
        </w:rPr>
        <w:drawing>
          <wp:inline distT="0" distB="0" distL="0" distR="0" wp14:anchorId="1BD5DDCC" wp14:editId="76AA8F7B">
            <wp:extent cx="5676900" cy="1699260"/>
            <wp:effectExtent l="0" t="0" r="19050" b="1524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A69BDB" w14:textId="77777777" w:rsidR="00C971C1" w:rsidRPr="001F5897" w:rsidRDefault="00C971C1" w:rsidP="00B712B6">
      <w:pPr>
        <w:spacing w:after="120"/>
        <w:rPr>
          <w:rFonts w:eastAsiaTheme="minorHAnsi" w:cstheme="minorBidi"/>
          <w:lang w:eastAsia="en-US"/>
        </w:rPr>
      </w:pPr>
    </w:p>
    <w:p w14:paraId="6BB5F3C4" w14:textId="77777777" w:rsidR="00B712B6" w:rsidRPr="001F5897" w:rsidRDefault="00C971C1" w:rsidP="00B712B6">
      <w:pPr>
        <w:spacing w:after="120"/>
        <w:rPr>
          <w:rFonts w:eastAsiaTheme="minorHAnsi" w:cstheme="minorBidi"/>
          <w:lang w:eastAsia="en-US"/>
        </w:rPr>
      </w:pPr>
      <w:r w:rsidRPr="001F5897">
        <w:rPr>
          <w:rFonts w:eastAsiaTheme="minorHAnsi" w:cstheme="minorBidi"/>
          <w:lang w:eastAsia="en-US"/>
        </w:rPr>
        <w:t>Graph No.</w:t>
      </w:r>
      <w:r w:rsidR="00B712B6" w:rsidRPr="001F5897">
        <w:rPr>
          <w:rFonts w:eastAsiaTheme="minorHAnsi" w:cstheme="minorBidi"/>
          <w:lang w:eastAsia="en-US"/>
        </w:rPr>
        <w:t xml:space="preserve"> 2: </w:t>
      </w:r>
      <w:r w:rsidRPr="001F5897">
        <w:rPr>
          <w:rFonts w:eastAsiaTheme="minorHAnsi" w:cstheme="minorBidi"/>
          <w:lang w:eastAsia="en-US"/>
        </w:rPr>
        <w:t>Dynamic development of received UTRs between</w:t>
      </w:r>
      <w:r w:rsidR="00B712B6" w:rsidRPr="001F5897">
        <w:rPr>
          <w:rFonts w:eastAsiaTheme="minorHAnsi" w:cstheme="minorBidi"/>
          <w:lang w:eastAsia="en-US"/>
        </w:rPr>
        <w:t xml:space="preserve"> 2009 – 2014</w:t>
      </w:r>
    </w:p>
    <w:p w14:paraId="3E55882C" w14:textId="77777777" w:rsidR="00B712B6" w:rsidRPr="001F5897" w:rsidRDefault="00B712B6" w:rsidP="00B712B6">
      <w:pPr>
        <w:spacing w:after="120"/>
        <w:rPr>
          <w:rFonts w:eastAsiaTheme="minorHAnsi" w:cstheme="minorBidi"/>
          <w:lang w:eastAsia="en-US"/>
        </w:rPr>
      </w:pPr>
      <w:r w:rsidRPr="001F5897">
        <w:rPr>
          <w:rFonts w:eastAsiaTheme="minorHAnsi" w:cstheme="minorBidi"/>
          <w:noProof/>
          <w:sz w:val="24"/>
          <w:szCs w:val="22"/>
          <w:lang w:val="sk-SK"/>
        </w:rPr>
        <w:drawing>
          <wp:inline distT="0" distB="0" distL="0" distR="0" wp14:anchorId="084F609E" wp14:editId="683A357C">
            <wp:extent cx="5686425" cy="2976245"/>
            <wp:effectExtent l="0" t="0" r="9525" b="1460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55D9AC" w14:textId="77777777" w:rsidR="00B712B6" w:rsidRPr="001F5897" w:rsidRDefault="00B712B6" w:rsidP="00B712B6">
      <w:pPr>
        <w:spacing w:after="120"/>
        <w:rPr>
          <w:rFonts w:eastAsiaTheme="minorHAnsi" w:cstheme="minorBidi"/>
          <w:lang w:eastAsia="en-US"/>
        </w:rPr>
      </w:pPr>
    </w:p>
    <w:p w14:paraId="628C8595" w14:textId="77777777" w:rsidR="00B712B6" w:rsidRPr="001F5897" w:rsidRDefault="00B712B6" w:rsidP="00B712B6">
      <w:pPr>
        <w:spacing w:after="120"/>
        <w:rPr>
          <w:rFonts w:eastAsiaTheme="minorHAnsi" w:cstheme="minorBidi"/>
          <w:lang w:eastAsia="en-US"/>
        </w:rPr>
      </w:pPr>
    </w:p>
    <w:p w14:paraId="43ED86C3" w14:textId="5713EDE9" w:rsidR="00B712B6" w:rsidRPr="001F5897" w:rsidRDefault="001838E9" w:rsidP="00B712B6">
      <w:pPr>
        <w:spacing w:after="120"/>
        <w:rPr>
          <w:rFonts w:eastAsiaTheme="minorHAnsi" w:cstheme="minorBidi"/>
          <w:lang w:eastAsia="en-US"/>
        </w:rPr>
      </w:pPr>
      <w:r w:rsidRPr="001F5897">
        <w:rPr>
          <w:rFonts w:eastAsiaTheme="minorHAnsi" w:cstheme="minorBidi"/>
          <w:lang w:eastAsia="en-US"/>
        </w:rPr>
        <w:t>Chart No</w:t>
      </w:r>
      <w:r w:rsidR="00B712B6" w:rsidRPr="001F5897">
        <w:rPr>
          <w:rFonts w:eastAsiaTheme="minorHAnsi" w:cstheme="minorBidi"/>
          <w:lang w:eastAsia="en-US"/>
        </w:rPr>
        <w:t xml:space="preserve">. 1: </w:t>
      </w:r>
      <w:r w:rsidRPr="001F5897">
        <w:rPr>
          <w:rFonts w:eastAsiaTheme="minorHAnsi" w:cstheme="minorBidi"/>
          <w:lang w:eastAsia="en-US"/>
        </w:rPr>
        <w:t>Num</w:t>
      </w:r>
      <w:r w:rsidR="001F5897">
        <w:rPr>
          <w:rFonts w:eastAsiaTheme="minorHAnsi" w:cstheme="minorBidi"/>
          <w:lang w:eastAsia="en-US"/>
        </w:rPr>
        <w:t>b</w:t>
      </w:r>
      <w:r w:rsidRPr="001F5897">
        <w:rPr>
          <w:rFonts w:eastAsiaTheme="minorHAnsi" w:cstheme="minorBidi"/>
          <w:lang w:eastAsia="en-US"/>
        </w:rPr>
        <w:t>er of UTRs received from banks in 2014</w:t>
      </w:r>
    </w:p>
    <w:tbl>
      <w:tblPr>
        <w:tblStyle w:val="Mriekatabuky3"/>
        <w:tblW w:w="0" w:type="auto"/>
        <w:tblLook w:val="04A0" w:firstRow="1" w:lastRow="0" w:firstColumn="1" w:lastColumn="0" w:noHBand="0" w:noVBand="1"/>
      </w:tblPr>
      <w:tblGrid>
        <w:gridCol w:w="4531"/>
        <w:gridCol w:w="4531"/>
      </w:tblGrid>
      <w:tr w:rsidR="00B712B6" w:rsidRPr="001F5897" w14:paraId="61AD5A38" w14:textId="77777777" w:rsidTr="00D21CC6">
        <w:tc>
          <w:tcPr>
            <w:tcW w:w="9062" w:type="dxa"/>
            <w:gridSpan w:val="2"/>
            <w:shd w:val="clear" w:color="auto" w:fill="CCC0D9" w:themeFill="accent4" w:themeFillTint="66"/>
            <w:vAlign w:val="center"/>
          </w:tcPr>
          <w:p w14:paraId="0A57B452" w14:textId="2FCBA8D7" w:rsidR="00B712B6" w:rsidRPr="001F5897" w:rsidRDefault="001253B5" w:rsidP="00E222DA">
            <w:pPr>
              <w:spacing w:after="120"/>
              <w:jc w:val="center"/>
              <w:rPr>
                <w:rFonts w:eastAsiaTheme="minorHAnsi" w:cstheme="minorBidi"/>
                <w:b/>
                <w:sz w:val="24"/>
                <w:szCs w:val="24"/>
                <w:lang w:eastAsia="en-US"/>
              </w:rPr>
            </w:pPr>
            <w:r w:rsidRPr="001F5897">
              <w:rPr>
                <w:rFonts w:eastAsiaTheme="minorHAnsi" w:cstheme="minorBidi"/>
                <w:b/>
                <w:sz w:val="24"/>
                <w:szCs w:val="24"/>
                <w:lang w:eastAsia="en-US"/>
              </w:rPr>
              <w:t>Banks acting in the Slovak Republic</w:t>
            </w:r>
            <w:r w:rsidR="00B712B6" w:rsidRPr="001F5897">
              <w:rPr>
                <w:rFonts w:eastAsiaTheme="minorHAnsi" w:cstheme="minorBidi"/>
                <w:b/>
                <w:sz w:val="24"/>
                <w:szCs w:val="24"/>
                <w:lang w:eastAsia="en-US"/>
              </w:rPr>
              <w:t xml:space="preserve"> </w:t>
            </w:r>
          </w:p>
        </w:tc>
      </w:tr>
      <w:tr w:rsidR="00B712B6" w:rsidRPr="001F5897" w14:paraId="5793CEDE" w14:textId="77777777" w:rsidTr="00D21CC6">
        <w:tc>
          <w:tcPr>
            <w:tcW w:w="4531" w:type="dxa"/>
            <w:shd w:val="clear" w:color="auto" w:fill="CCC0D9" w:themeFill="accent4" w:themeFillTint="66"/>
            <w:vAlign w:val="center"/>
          </w:tcPr>
          <w:p w14:paraId="526B0B88" w14:textId="77777777" w:rsidR="00B712B6" w:rsidRPr="001F5897" w:rsidRDefault="00A40724"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Obliged Entity</w:t>
            </w:r>
          </w:p>
        </w:tc>
        <w:tc>
          <w:tcPr>
            <w:tcW w:w="4531" w:type="dxa"/>
            <w:shd w:val="clear" w:color="auto" w:fill="CCC0D9" w:themeFill="accent4" w:themeFillTint="66"/>
            <w:vAlign w:val="center"/>
          </w:tcPr>
          <w:p w14:paraId="6FA63D8A" w14:textId="77777777" w:rsidR="00B712B6" w:rsidRPr="001F5897" w:rsidRDefault="00A40724"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Number of UTRs</w:t>
            </w:r>
          </w:p>
        </w:tc>
      </w:tr>
      <w:tr w:rsidR="00B712B6" w:rsidRPr="001F5897" w14:paraId="780B0D25" w14:textId="77777777" w:rsidTr="00D21CC6">
        <w:tc>
          <w:tcPr>
            <w:tcW w:w="4531" w:type="dxa"/>
            <w:shd w:val="clear" w:color="auto" w:fill="E5DFEC" w:themeFill="accent4" w:themeFillTint="33"/>
            <w:vAlign w:val="center"/>
          </w:tcPr>
          <w:p w14:paraId="5C73FEAD" w14:textId="77777777" w:rsidR="00B712B6" w:rsidRPr="001F5897" w:rsidRDefault="00A40724" w:rsidP="00D21CC6">
            <w:pPr>
              <w:spacing w:after="120"/>
              <w:jc w:val="left"/>
              <w:rPr>
                <w:rFonts w:eastAsiaTheme="minorHAnsi" w:cstheme="minorBidi"/>
                <w:sz w:val="24"/>
                <w:szCs w:val="24"/>
                <w:lang w:eastAsia="en-US"/>
              </w:rPr>
            </w:pPr>
            <w:r w:rsidRPr="001F5897">
              <w:rPr>
                <w:rFonts w:eastAsiaTheme="minorHAnsi" w:cstheme="minorBidi"/>
                <w:sz w:val="24"/>
                <w:szCs w:val="24"/>
                <w:lang w:eastAsia="en-US"/>
              </w:rPr>
              <w:t>The National Bank of Slovakia</w:t>
            </w:r>
          </w:p>
        </w:tc>
        <w:tc>
          <w:tcPr>
            <w:tcW w:w="4531" w:type="dxa"/>
            <w:shd w:val="clear" w:color="auto" w:fill="E5DFEC" w:themeFill="accent4" w:themeFillTint="33"/>
            <w:vAlign w:val="center"/>
          </w:tcPr>
          <w:p w14:paraId="68FE1F7E"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126</w:t>
            </w:r>
          </w:p>
        </w:tc>
      </w:tr>
      <w:tr w:rsidR="00B712B6" w:rsidRPr="001F5897" w14:paraId="7C8AA400" w14:textId="77777777" w:rsidTr="00D21CC6">
        <w:tc>
          <w:tcPr>
            <w:tcW w:w="4531" w:type="dxa"/>
            <w:shd w:val="clear" w:color="auto" w:fill="E5DFEC" w:themeFill="accent4" w:themeFillTint="33"/>
            <w:vAlign w:val="center"/>
          </w:tcPr>
          <w:p w14:paraId="5B04459E" w14:textId="77777777" w:rsidR="00B712B6" w:rsidRPr="001F5897" w:rsidRDefault="00A40724" w:rsidP="001838E9">
            <w:pPr>
              <w:spacing w:after="120"/>
              <w:jc w:val="left"/>
              <w:rPr>
                <w:rFonts w:eastAsiaTheme="minorHAnsi" w:cstheme="minorBidi"/>
                <w:sz w:val="24"/>
                <w:szCs w:val="24"/>
                <w:lang w:eastAsia="en-US"/>
              </w:rPr>
            </w:pPr>
            <w:r w:rsidRPr="001F5897">
              <w:rPr>
                <w:rFonts w:eastAsiaTheme="minorHAnsi" w:cstheme="minorBidi"/>
                <w:sz w:val="24"/>
                <w:szCs w:val="24"/>
                <w:lang w:eastAsia="en-US"/>
              </w:rPr>
              <w:t xml:space="preserve">Banks performing </w:t>
            </w:r>
            <w:r w:rsidR="001838E9" w:rsidRPr="001F5897">
              <w:rPr>
                <w:rFonts w:eastAsiaTheme="minorHAnsi" w:cstheme="minorBidi"/>
                <w:sz w:val="24"/>
                <w:szCs w:val="24"/>
                <w:lang w:eastAsia="en-US"/>
              </w:rPr>
              <w:t>their</w:t>
            </w:r>
            <w:r w:rsidRPr="001F5897">
              <w:rPr>
                <w:rFonts w:eastAsiaTheme="minorHAnsi" w:cstheme="minorBidi"/>
                <w:sz w:val="24"/>
                <w:szCs w:val="24"/>
                <w:lang w:eastAsia="en-US"/>
              </w:rPr>
              <w:t xml:space="preserve"> activities in Slovakia</w:t>
            </w:r>
          </w:p>
        </w:tc>
        <w:tc>
          <w:tcPr>
            <w:tcW w:w="4531" w:type="dxa"/>
            <w:shd w:val="clear" w:color="auto" w:fill="E5DFEC" w:themeFill="accent4" w:themeFillTint="33"/>
            <w:vAlign w:val="center"/>
          </w:tcPr>
          <w:p w14:paraId="4DEF9DEE"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3252</w:t>
            </w:r>
          </w:p>
        </w:tc>
      </w:tr>
      <w:tr w:rsidR="00B712B6" w:rsidRPr="001F5897" w14:paraId="7D12F37C" w14:textId="77777777" w:rsidTr="00D21CC6">
        <w:tc>
          <w:tcPr>
            <w:tcW w:w="4531" w:type="dxa"/>
            <w:shd w:val="clear" w:color="auto" w:fill="CCC0D9" w:themeFill="accent4" w:themeFillTint="66"/>
            <w:vAlign w:val="center"/>
          </w:tcPr>
          <w:p w14:paraId="6DC28D75" w14:textId="77777777" w:rsidR="00B712B6" w:rsidRPr="001F5897" w:rsidRDefault="009E018C" w:rsidP="00D21CC6">
            <w:pPr>
              <w:spacing w:after="120"/>
              <w:jc w:val="left"/>
              <w:rPr>
                <w:rFonts w:eastAsiaTheme="minorHAnsi" w:cstheme="minorBidi"/>
                <w:b/>
                <w:sz w:val="24"/>
                <w:szCs w:val="24"/>
                <w:lang w:eastAsia="en-US"/>
              </w:rPr>
            </w:pPr>
            <w:r w:rsidRPr="001F5897">
              <w:rPr>
                <w:rFonts w:eastAsiaTheme="minorHAnsi" w:cstheme="minorBidi"/>
                <w:b/>
                <w:sz w:val="24"/>
                <w:szCs w:val="24"/>
                <w:lang w:eastAsia="en-US"/>
              </w:rPr>
              <w:t>Total</w:t>
            </w:r>
            <w:r w:rsidR="00B712B6" w:rsidRPr="001F5897">
              <w:rPr>
                <w:rFonts w:eastAsiaTheme="minorHAnsi" w:cstheme="minorBidi"/>
                <w:b/>
                <w:sz w:val="24"/>
                <w:szCs w:val="24"/>
                <w:lang w:eastAsia="en-US"/>
              </w:rPr>
              <w:t xml:space="preserve"> </w:t>
            </w:r>
          </w:p>
        </w:tc>
        <w:tc>
          <w:tcPr>
            <w:tcW w:w="4531" w:type="dxa"/>
            <w:shd w:val="clear" w:color="auto" w:fill="CCC0D9" w:themeFill="accent4" w:themeFillTint="66"/>
            <w:vAlign w:val="center"/>
          </w:tcPr>
          <w:p w14:paraId="5BB9AC46" w14:textId="77777777" w:rsidR="00B712B6" w:rsidRPr="001F5897" w:rsidRDefault="00B712B6" w:rsidP="00D21CC6">
            <w:pPr>
              <w:spacing w:after="120"/>
              <w:jc w:val="center"/>
              <w:rPr>
                <w:rFonts w:eastAsiaTheme="minorHAnsi" w:cstheme="minorBidi"/>
                <w:b/>
                <w:sz w:val="24"/>
                <w:szCs w:val="24"/>
                <w:lang w:eastAsia="en-US"/>
              </w:rPr>
            </w:pPr>
            <w:r w:rsidRPr="001F5897">
              <w:rPr>
                <w:rFonts w:eastAsiaTheme="minorHAnsi" w:cstheme="minorBidi"/>
                <w:b/>
                <w:sz w:val="24"/>
                <w:szCs w:val="24"/>
                <w:lang w:eastAsia="en-US"/>
              </w:rPr>
              <w:t>3378</w:t>
            </w:r>
          </w:p>
        </w:tc>
      </w:tr>
    </w:tbl>
    <w:p w14:paraId="5B13D820" w14:textId="77777777" w:rsidR="00B712B6" w:rsidRPr="001F5897" w:rsidRDefault="00B712B6" w:rsidP="00B712B6">
      <w:pPr>
        <w:spacing w:after="120"/>
        <w:rPr>
          <w:rFonts w:eastAsiaTheme="minorHAnsi" w:cstheme="minorBidi"/>
          <w:lang w:eastAsia="en-US"/>
        </w:rPr>
      </w:pPr>
    </w:p>
    <w:p w14:paraId="23573C09" w14:textId="77777777" w:rsidR="00B712B6" w:rsidRPr="001F5897" w:rsidRDefault="00B712B6" w:rsidP="00B712B6">
      <w:pPr>
        <w:spacing w:after="120"/>
        <w:rPr>
          <w:rFonts w:eastAsiaTheme="minorHAnsi" w:cstheme="minorBidi"/>
          <w:lang w:eastAsia="en-US"/>
        </w:rPr>
      </w:pPr>
    </w:p>
    <w:p w14:paraId="5CF93201" w14:textId="77777777" w:rsidR="003C161E" w:rsidRDefault="003C161E" w:rsidP="00B712B6">
      <w:pPr>
        <w:spacing w:after="120"/>
        <w:rPr>
          <w:rFonts w:eastAsiaTheme="minorHAnsi" w:cstheme="minorBidi"/>
          <w:lang w:eastAsia="en-US"/>
        </w:rPr>
      </w:pPr>
    </w:p>
    <w:p w14:paraId="5F003477" w14:textId="77777777" w:rsidR="003C161E" w:rsidRDefault="003C161E" w:rsidP="00B712B6">
      <w:pPr>
        <w:spacing w:after="120"/>
        <w:rPr>
          <w:rFonts w:eastAsiaTheme="minorHAnsi" w:cstheme="minorBidi"/>
          <w:lang w:eastAsia="en-US"/>
        </w:rPr>
      </w:pPr>
    </w:p>
    <w:p w14:paraId="64A6FB23" w14:textId="77777777" w:rsidR="00B712B6" w:rsidRPr="001F5897" w:rsidRDefault="00A40724" w:rsidP="00B712B6">
      <w:pPr>
        <w:spacing w:after="120"/>
        <w:rPr>
          <w:rFonts w:eastAsiaTheme="minorHAnsi" w:cstheme="minorBidi"/>
          <w:lang w:eastAsia="en-US"/>
        </w:rPr>
      </w:pPr>
      <w:r w:rsidRPr="001F5897">
        <w:rPr>
          <w:rFonts w:eastAsiaTheme="minorHAnsi" w:cstheme="minorBidi"/>
          <w:lang w:eastAsia="en-US"/>
        </w:rPr>
        <w:lastRenderedPageBreak/>
        <w:t xml:space="preserve">Chart No. </w:t>
      </w:r>
      <w:r w:rsidR="00B712B6" w:rsidRPr="001F5897">
        <w:rPr>
          <w:rFonts w:eastAsiaTheme="minorHAnsi" w:cstheme="minorBidi"/>
          <w:lang w:eastAsia="en-US"/>
        </w:rPr>
        <w:t xml:space="preserve">2: </w:t>
      </w:r>
      <w:r w:rsidRPr="001F5897">
        <w:rPr>
          <w:rFonts w:eastAsiaTheme="minorHAnsi" w:cstheme="minorBidi"/>
          <w:lang w:eastAsia="en-US"/>
        </w:rPr>
        <w:t xml:space="preserve">Number of UTRs received from other financial institutions in 2014 </w:t>
      </w:r>
    </w:p>
    <w:tbl>
      <w:tblPr>
        <w:tblStyle w:val="Mriekatabuky3"/>
        <w:tblW w:w="0" w:type="auto"/>
        <w:tblLook w:val="04A0" w:firstRow="1" w:lastRow="0" w:firstColumn="1" w:lastColumn="0" w:noHBand="0" w:noVBand="1"/>
      </w:tblPr>
      <w:tblGrid>
        <w:gridCol w:w="4531"/>
        <w:gridCol w:w="4531"/>
      </w:tblGrid>
      <w:tr w:rsidR="00B712B6" w:rsidRPr="001F5897" w14:paraId="349A99A7" w14:textId="77777777" w:rsidTr="00D21CC6">
        <w:tc>
          <w:tcPr>
            <w:tcW w:w="9062" w:type="dxa"/>
            <w:gridSpan w:val="2"/>
            <w:shd w:val="clear" w:color="auto" w:fill="CCC0D9" w:themeFill="accent4" w:themeFillTint="66"/>
            <w:vAlign w:val="center"/>
          </w:tcPr>
          <w:p w14:paraId="74FD4DB2" w14:textId="77777777" w:rsidR="00B712B6" w:rsidRPr="001F5897" w:rsidRDefault="008A70AF" w:rsidP="00D21CC6">
            <w:pPr>
              <w:spacing w:after="120"/>
              <w:jc w:val="center"/>
              <w:rPr>
                <w:rFonts w:eastAsiaTheme="minorHAnsi" w:cstheme="minorBidi"/>
                <w:b/>
                <w:sz w:val="24"/>
                <w:szCs w:val="24"/>
                <w:lang w:eastAsia="en-US"/>
              </w:rPr>
            </w:pPr>
            <w:r w:rsidRPr="001F5897">
              <w:rPr>
                <w:rFonts w:eastAsiaTheme="minorHAnsi" w:cstheme="minorBidi"/>
                <w:b/>
                <w:sz w:val="24"/>
                <w:szCs w:val="24"/>
                <w:lang w:eastAsia="en-US"/>
              </w:rPr>
              <w:t>Other financial institutions</w:t>
            </w:r>
            <w:r w:rsidR="00B712B6" w:rsidRPr="001F5897">
              <w:rPr>
                <w:rFonts w:eastAsiaTheme="minorHAnsi" w:cstheme="minorBidi"/>
                <w:b/>
                <w:sz w:val="24"/>
                <w:szCs w:val="24"/>
                <w:lang w:eastAsia="en-US"/>
              </w:rPr>
              <w:t xml:space="preserve"> </w:t>
            </w:r>
          </w:p>
        </w:tc>
      </w:tr>
      <w:tr w:rsidR="00B712B6" w:rsidRPr="001F5897" w14:paraId="332AD7E3" w14:textId="77777777" w:rsidTr="00D21CC6">
        <w:tc>
          <w:tcPr>
            <w:tcW w:w="4531" w:type="dxa"/>
            <w:shd w:val="clear" w:color="auto" w:fill="CCC0D9" w:themeFill="accent4" w:themeFillTint="66"/>
            <w:vAlign w:val="center"/>
          </w:tcPr>
          <w:p w14:paraId="2A057C67" w14:textId="77777777" w:rsidR="009E018C" w:rsidRPr="001F5897" w:rsidRDefault="008A70AF" w:rsidP="00A40724">
            <w:pPr>
              <w:spacing w:after="120"/>
              <w:jc w:val="center"/>
              <w:rPr>
                <w:rFonts w:eastAsiaTheme="minorHAnsi" w:cstheme="minorBidi"/>
                <w:sz w:val="24"/>
                <w:szCs w:val="24"/>
                <w:lang w:eastAsia="en-US"/>
              </w:rPr>
            </w:pPr>
            <w:r w:rsidRPr="001F5897">
              <w:rPr>
                <w:rFonts w:eastAsiaTheme="minorHAnsi" w:cstheme="minorBidi"/>
                <w:sz w:val="24"/>
                <w:szCs w:val="24"/>
                <w:lang w:eastAsia="en-US"/>
              </w:rPr>
              <w:t xml:space="preserve">Obliged </w:t>
            </w:r>
            <w:r w:rsidR="00A40724" w:rsidRPr="001F5897">
              <w:rPr>
                <w:rFonts w:eastAsiaTheme="minorHAnsi" w:cstheme="minorBidi"/>
                <w:sz w:val="24"/>
                <w:szCs w:val="24"/>
                <w:lang w:eastAsia="en-US"/>
              </w:rPr>
              <w:t>E</w:t>
            </w:r>
            <w:r w:rsidRPr="001F5897">
              <w:rPr>
                <w:rFonts w:eastAsiaTheme="minorHAnsi" w:cstheme="minorBidi"/>
                <w:sz w:val="24"/>
                <w:szCs w:val="24"/>
                <w:lang w:eastAsia="en-US"/>
              </w:rPr>
              <w:t>ntity</w:t>
            </w:r>
          </w:p>
        </w:tc>
        <w:tc>
          <w:tcPr>
            <w:tcW w:w="4531" w:type="dxa"/>
            <w:shd w:val="clear" w:color="auto" w:fill="CCC0D9" w:themeFill="accent4" w:themeFillTint="66"/>
            <w:vAlign w:val="center"/>
          </w:tcPr>
          <w:p w14:paraId="2F824200" w14:textId="77777777" w:rsidR="00B712B6" w:rsidRPr="001F5897" w:rsidRDefault="009E018C" w:rsidP="009E018C">
            <w:pPr>
              <w:spacing w:after="120"/>
              <w:jc w:val="center"/>
              <w:rPr>
                <w:rFonts w:eastAsiaTheme="minorHAnsi" w:cstheme="minorBidi"/>
                <w:sz w:val="24"/>
                <w:szCs w:val="24"/>
                <w:lang w:eastAsia="en-US"/>
              </w:rPr>
            </w:pPr>
            <w:r w:rsidRPr="001F5897">
              <w:rPr>
                <w:rFonts w:eastAsiaTheme="minorHAnsi" w:cstheme="minorBidi"/>
                <w:sz w:val="24"/>
                <w:szCs w:val="24"/>
                <w:lang w:eastAsia="en-US"/>
              </w:rPr>
              <w:t xml:space="preserve">Number of UTRs </w:t>
            </w:r>
          </w:p>
        </w:tc>
      </w:tr>
      <w:tr w:rsidR="00B712B6" w:rsidRPr="001F5897" w14:paraId="2BD141C0" w14:textId="77777777" w:rsidTr="00D21CC6">
        <w:tc>
          <w:tcPr>
            <w:tcW w:w="4531" w:type="dxa"/>
            <w:shd w:val="clear" w:color="auto" w:fill="E5DFEC" w:themeFill="accent4" w:themeFillTint="33"/>
            <w:vAlign w:val="center"/>
          </w:tcPr>
          <w:p w14:paraId="0DA8E9CC" w14:textId="77777777" w:rsidR="00B712B6" w:rsidRPr="001F5897" w:rsidRDefault="00A40724" w:rsidP="00D21CC6">
            <w:pPr>
              <w:spacing w:after="120"/>
              <w:jc w:val="left"/>
              <w:rPr>
                <w:rFonts w:eastAsiaTheme="minorHAnsi" w:cstheme="minorBidi"/>
                <w:sz w:val="24"/>
                <w:szCs w:val="24"/>
                <w:lang w:eastAsia="en-US"/>
              </w:rPr>
            </w:pPr>
            <w:r w:rsidRPr="001F5897">
              <w:rPr>
                <w:rFonts w:eastAsiaTheme="minorHAnsi" w:cstheme="minorBidi"/>
                <w:sz w:val="24"/>
                <w:szCs w:val="24"/>
                <w:lang w:eastAsia="en-US"/>
              </w:rPr>
              <w:t>Securities Dealer</w:t>
            </w:r>
          </w:p>
        </w:tc>
        <w:tc>
          <w:tcPr>
            <w:tcW w:w="4531" w:type="dxa"/>
            <w:shd w:val="clear" w:color="auto" w:fill="E5DFEC" w:themeFill="accent4" w:themeFillTint="33"/>
            <w:vAlign w:val="center"/>
          </w:tcPr>
          <w:p w14:paraId="241DF1C8"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19</w:t>
            </w:r>
          </w:p>
        </w:tc>
      </w:tr>
      <w:tr w:rsidR="00B712B6" w:rsidRPr="001F5897" w14:paraId="5033F095" w14:textId="77777777" w:rsidTr="00D21CC6">
        <w:tc>
          <w:tcPr>
            <w:tcW w:w="4531" w:type="dxa"/>
            <w:shd w:val="clear" w:color="auto" w:fill="E5DFEC" w:themeFill="accent4" w:themeFillTint="33"/>
            <w:vAlign w:val="center"/>
          </w:tcPr>
          <w:p w14:paraId="15D43027" w14:textId="77777777" w:rsidR="00B712B6" w:rsidRPr="001F5897" w:rsidRDefault="00A40724" w:rsidP="00A40724">
            <w:pPr>
              <w:spacing w:after="120"/>
              <w:jc w:val="left"/>
              <w:rPr>
                <w:rFonts w:eastAsiaTheme="minorHAnsi" w:cstheme="minorBidi"/>
                <w:sz w:val="24"/>
                <w:szCs w:val="24"/>
                <w:lang w:eastAsia="en-US"/>
              </w:rPr>
            </w:pPr>
            <w:r w:rsidRPr="001F5897">
              <w:rPr>
                <w:rFonts w:eastAsiaTheme="minorHAnsi" w:cstheme="minorBidi"/>
                <w:sz w:val="24"/>
                <w:szCs w:val="24"/>
                <w:lang w:eastAsia="en-US"/>
              </w:rPr>
              <w:t>Central Securities Depository</w:t>
            </w:r>
          </w:p>
        </w:tc>
        <w:tc>
          <w:tcPr>
            <w:tcW w:w="4531" w:type="dxa"/>
            <w:shd w:val="clear" w:color="auto" w:fill="E5DFEC" w:themeFill="accent4" w:themeFillTint="33"/>
            <w:vAlign w:val="center"/>
          </w:tcPr>
          <w:p w14:paraId="08481400"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1</w:t>
            </w:r>
          </w:p>
        </w:tc>
      </w:tr>
      <w:tr w:rsidR="00B712B6" w:rsidRPr="001F5897" w14:paraId="02A98E68" w14:textId="77777777" w:rsidTr="00D21CC6">
        <w:tc>
          <w:tcPr>
            <w:tcW w:w="4531" w:type="dxa"/>
            <w:shd w:val="clear" w:color="auto" w:fill="E5DFEC" w:themeFill="accent4" w:themeFillTint="33"/>
            <w:vAlign w:val="center"/>
          </w:tcPr>
          <w:p w14:paraId="73A160E3" w14:textId="77777777" w:rsidR="00B712B6" w:rsidRPr="001F5897" w:rsidRDefault="00A40724" w:rsidP="00A40724">
            <w:pPr>
              <w:spacing w:after="120"/>
              <w:jc w:val="left"/>
              <w:rPr>
                <w:rFonts w:eastAsiaTheme="minorHAnsi" w:cstheme="minorBidi"/>
                <w:sz w:val="24"/>
                <w:szCs w:val="24"/>
                <w:lang w:eastAsia="en-US"/>
              </w:rPr>
            </w:pPr>
            <w:r w:rsidRPr="001F5897">
              <w:rPr>
                <w:rFonts w:eastAsiaTheme="minorHAnsi" w:cstheme="minorBidi"/>
                <w:sz w:val="24"/>
                <w:szCs w:val="24"/>
                <w:lang w:eastAsia="en-US"/>
              </w:rPr>
              <w:t>Investment and Asset Management Company</w:t>
            </w:r>
          </w:p>
        </w:tc>
        <w:tc>
          <w:tcPr>
            <w:tcW w:w="4531" w:type="dxa"/>
            <w:shd w:val="clear" w:color="auto" w:fill="E5DFEC" w:themeFill="accent4" w:themeFillTint="33"/>
            <w:vAlign w:val="center"/>
          </w:tcPr>
          <w:p w14:paraId="110EDFBA"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64</w:t>
            </w:r>
          </w:p>
        </w:tc>
      </w:tr>
      <w:tr w:rsidR="00B712B6" w:rsidRPr="001F5897" w14:paraId="4C32AC28" w14:textId="77777777" w:rsidTr="00D21CC6">
        <w:tc>
          <w:tcPr>
            <w:tcW w:w="4531" w:type="dxa"/>
            <w:shd w:val="clear" w:color="auto" w:fill="E5DFEC" w:themeFill="accent4" w:themeFillTint="33"/>
            <w:vAlign w:val="center"/>
          </w:tcPr>
          <w:p w14:paraId="3DC8E939" w14:textId="77777777" w:rsidR="00B712B6" w:rsidRPr="001F5897" w:rsidRDefault="009E018C" w:rsidP="00A40724">
            <w:pPr>
              <w:spacing w:after="120"/>
              <w:jc w:val="left"/>
              <w:rPr>
                <w:rFonts w:eastAsiaTheme="minorHAnsi" w:cstheme="minorBidi"/>
                <w:sz w:val="24"/>
                <w:szCs w:val="24"/>
                <w:lang w:eastAsia="en-US"/>
              </w:rPr>
            </w:pPr>
            <w:r w:rsidRPr="001F5897">
              <w:rPr>
                <w:rFonts w:eastAsiaTheme="minorHAnsi" w:cstheme="minorBidi"/>
                <w:sz w:val="24"/>
                <w:szCs w:val="24"/>
                <w:lang w:eastAsia="en-US"/>
              </w:rPr>
              <w:t xml:space="preserve">Insurance </w:t>
            </w:r>
            <w:r w:rsidR="00A40724" w:rsidRPr="001F5897">
              <w:rPr>
                <w:rFonts w:eastAsiaTheme="minorHAnsi" w:cstheme="minorBidi"/>
                <w:sz w:val="24"/>
                <w:szCs w:val="24"/>
                <w:lang w:eastAsia="en-US"/>
              </w:rPr>
              <w:t>C</w:t>
            </w:r>
            <w:r w:rsidRPr="001F5897">
              <w:rPr>
                <w:rFonts w:eastAsiaTheme="minorHAnsi" w:cstheme="minorBidi"/>
                <w:sz w:val="24"/>
                <w:szCs w:val="24"/>
                <w:lang w:eastAsia="en-US"/>
              </w:rPr>
              <w:t>ompany</w:t>
            </w:r>
          </w:p>
        </w:tc>
        <w:tc>
          <w:tcPr>
            <w:tcW w:w="4531" w:type="dxa"/>
            <w:shd w:val="clear" w:color="auto" w:fill="E5DFEC" w:themeFill="accent4" w:themeFillTint="33"/>
            <w:vAlign w:val="center"/>
          </w:tcPr>
          <w:p w14:paraId="5FA80773"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174</w:t>
            </w:r>
          </w:p>
        </w:tc>
      </w:tr>
      <w:tr w:rsidR="00B712B6" w:rsidRPr="001F5897" w14:paraId="26C80DEA" w14:textId="77777777" w:rsidTr="00D21CC6">
        <w:tc>
          <w:tcPr>
            <w:tcW w:w="4531" w:type="dxa"/>
            <w:shd w:val="clear" w:color="auto" w:fill="E5DFEC" w:themeFill="accent4" w:themeFillTint="33"/>
            <w:vAlign w:val="center"/>
          </w:tcPr>
          <w:p w14:paraId="4F034B27" w14:textId="77777777" w:rsidR="00B712B6" w:rsidRPr="001F5897" w:rsidRDefault="00A40724" w:rsidP="00D21CC6">
            <w:pPr>
              <w:spacing w:after="120"/>
              <w:jc w:val="left"/>
              <w:rPr>
                <w:rFonts w:eastAsiaTheme="minorHAnsi" w:cstheme="minorBidi"/>
                <w:sz w:val="24"/>
                <w:szCs w:val="24"/>
                <w:lang w:eastAsia="en-US"/>
              </w:rPr>
            </w:pPr>
            <w:r w:rsidRPr="001F5897">
              <w:rPr>
                <w:rFonts w:eastAsiaTheme="minorHAnsi" w:cstheme="minorBidi"/>
                <w:sz w:val="24"/>
                <w:szCs w:val="24"/>
                <w:lang w:eastAsia="en-US"/>
              </w:rPr>
              <w:t>Exchange Office</w:t>
            </w:r>
          </w:p>
        </w:tc>
        <w:tc>
          <w:tcPr>
            <w:tcW w:w="4531" w:type="dxa"/>
            <w:shd w:val="clear" w:color="auto" w:fill="E5DFEC" w:themeFill="accent4" w:themeFillTint="33"/>
            <w:vAlign w:val="center"/>
          </w:tcPr>
          <w:p w14:paraId="4C670217"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8</w:t>
            </w:r>
          </w:p>
        </w:tc>
      </w:tr>
      <w:tr w:rsidR="00B712B6" w:rsidRPr="001F5897" w14:paraId="23D6AF77" w14:textId="77777777" w:rsidTr="00D21CC6">
        <w:tc>
          <w:tcPr>
            <w:tcW w:w="4531" w:type="dxa"/>
            <w:shd w:val="clear" w:color="auto" w:fill="E5DFEC" w:themeFill="accent4" w:themeFillTint="33"/>
            <w:vAlign w:val="center"/>
          </w:tcPr>
          <w:p w14:paraId="63CA9083" w14:textId="77777777" w:rsidR="00B712B6" w:rsidRPr="001F5897" w:rsidRDefault="00A40724" w:rsidP="00A40724">
            <w:pPr>
              <w:spacing w:after="120"/>
              <w:jc w:val="left"/>
              <w:rPr>
                <w:rFonts w:eastAsiaTheme="minorHAnsi" w:cstheme="minorBidi"/>
                <w:sz w:val="24"/>
                <w:szCs w:val="24"/>
                <w:lang w:eastAsia="en-US"/>
              </w:rPr>
            </w:pPr>
            <w:r w:rsidRPr="001F5897">
              <w:rPr>
                <w:rFonts w:eastAsiaTheme="minorHAnsi" w:cstheme="minorBidi"/>
                <w:sz w:val="24"/>
                <w:szCs w:val="24"/>
                <w:lang w:eastAsia="en-US"/>
              </w:rPr>
              <w:t>Money Transfer Service</w:t>
            </w:r>
            <w:r w:rsidR="00B712B6" w:rsidRPr="001F5897">
              <w:rPr>
                <w:rFonts w:eastAsiaTheme="minorHAnsi" w:cstheme="minorBidi"/>
                <w:sz w:val="24"/>
                <w:szCs w:val="24"/>
                <w:lang w:eastAsia="en-US"/>
              </w:rPr>
              <w:t xml:space="preserve"> </w:t>
            </w:r>
          </w:p>
        </w:tc>
        <w:tc>
          <w:tcPr>
            <w:tcW w:w="4531" w:type="dxa"/>
            <w:shd w:val="clear" w:color="auto" w:fill="E5DFEC" w:themeFill="accent4" w:themeFillTint="33"/>
            <w:vAlign w:val="center"/>
          </w:tcPr>
          <w:p w14:paraId="6D16EEDE"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129</w:t>
            </w:r>
          </w:p>
        </w:tc>
      </w:tr>
      <w:tr w:rsidR="00B712B6" w:rsidRPr="001F5897" w14:paraId="7DFDFD13" w14:textId="77777777" w:rsidTr="00D21CC6">
        <w:tc>
          <w:tcPr>
            <w:tcW w:w="4531" w:type="dxa"/>
            <w:shd w:val="clear" w:color="auto" w:fill="CCC0D9" w:themeFill="accent4" w:themeFillTint="66"/>
            <w:vAlign w:val="center"/>
          </w:tcPr>
          <w:p w14:paraId="7E162299" w14:textId="77777777" w:rsidR="00B712B6" w:rsidRPr="001F5897" w:rsidRDefault="008A70AF" w:rsidP="00D21CC6">
            <w:pPr>
              <w:spacing w:after="120"/>
              <w:jc w:val="left"/>
              <w:rPr>
                <w:rFonts w:eastAsiaTheme="minorHAnsi" w:cstheme="minorBidi"/>
                <w:b/>
                <w:sz w:val="24"/>
                <w:szCs w:val="24"/>
                <w:lang w:eastAsia="en-US"/>
              </w:rPr>
            </w:pPr>
            <w:r w:rsidRPr="001F5897">
              <w:rPr>
                <w:rFonts w:eastAsiaTheme="minorHAnsi" w:cstheme="minorBidi"/>
                <w:b/>
                <w:sz w:val="24"/>
                <w:szCs w:val="24"/>
                <w:lang w:eastAsia="en-US"/>
              </w:rPr>
              <w:t>Total</w:t>
            </w:r>
            <w:r w:rsidR="00B712B6" w:rsidRPr="001F5897">
              <w:rPr>
                <w:rFonts w:eastAsiaTheme="minorHAnsi" w:cstheme="minorBidi"/>
                <w:b/>
                <w:sz w:val="24"/>
                <w:szCs w:val="24"/>
                <w:lang w:eastAsia="en-US"/>
              </w:rPr>
              <w:t xml:space="preserve"> </w:t>
            </w:r>
          </w:p>
        </w:tc>
        <w:tc>
          <w:tcPr>
            <w:tcW w:w="4531" w:type="dxa"/>
            <w:shd w:val="clear" w:color="auto" w:fill="CCC0D9" w:themeFill="accent4" w:themeFillTint="66"/>
            <w:vAlign w:val="center"/>
          </w:tcPr>
          <w:p w14:paraId="323A3487" w14:textId="77777777" w:rsidR="00B712B6" w:rsidRPr="001F5897" w:rsidRDefault="00B712B6" w:rsidP="00D21CC6">
            <w:pPr>
              <w:spacing w:after="120"/>
              <w:jc w:val="center"/>
              <w:rPr>
                <w:rFonts w:eastAsiaTheme="minorHAnsi" w:cstheme="minorBidi"/>
                <w:b/>
                <w:sz w:val="24"/>
                <w:szCs w:val="24"/>
                <w:lang w:eastAsia="en-US"/>
              </w:rPr>
            </w:pPr>
            <w:r w:rsidRPr="001F5897">
              <w:rPr>
                <w:rFonts w:eastAsiaTheme="minorHAnsi" w:cstheme="minorBidi"/>
                <w:b/>
                <w:sz w:val="24"/>
                <w:szCs w:val="24"/>
                <w:lang w:eastAsia="en-US"/>
              </w:rPr>
              <w:t>395</w:t>
            </w:r>
          </w:p>
        </w:tc>
      </w:tr>
    </w:tbl>
    <w:p w14:paraId="13E2C089" w14:textId="77777777" w:rsidR="00B712B6" w:rsidRPr="001F5897" w:rsidRDefault="00B712B6" w:rsidP="00B712B6">
      <w:pPr>
        <w:spacing w:after="120"/>
        <w:rPr>
          <w:rFonts w:eastAsiaTheme="minorHAnsi" w:cstheme="minorBidi"/>
          <w:lang w:eastAsia="en-US"/>
        </w:rPr>
      </w:pPr>
    </w:p>
    <w:p w14:paraId="7D00FA58" w14:textId="77777777" w:rsidR="00B712B6" w:rsidRPr="001F5897" w:rsidRDefault="00A40724" w:rsidP="00B712B6">
      <w:pPr>
        <w:spacing w:after="120"/>
        <w:rPr>
          <w:rFonts w:eastAsiaTheme="minorHAnsi" w:cstheme="minorBidi"/>
          <w:lang w:eastAsia="en-US"/>
        </w:rPr>
      </w:pPr>
      <w:r w:rsidRPr="001F5897">
        <w:rPr>
          <w:rFonts w:eastAsiaTheme="minorHAnsi" w:cstheme="minorBidi"/>
          <w:lang w:eastAsia="en-US"/>
        </w:rPr>
        <w:t>C</w:t>
      </w:r>
      <w:r w:rsidR="009E018C" w:rsidRPr="001F5897">
        <w:rPr>
          <w:rFonts w:eastAsiaTheme="minorHAnsi" w:cstheme="minorBidi"/>
          <w:lang w:eastAsia="en-US"/>
        </w:rPr>
        <w:t xml:space="preserve">hart No. </w:t>
      </w:r>
      <w:r w:rsidR="00B712B6" w:rsidRPr="001F5897">
        <w:rPr>
          <w:rFonts w:eastAsiaTheme="minorHAnsi" w:cstheme="minorBidi"/>
          <w:lang w:eastAsia="en-US"/>
        </w:rPr>
        <w:t xml:space="preserve">3: </w:t>
      </w:r>
      <w:r w:rsidR="009E018C" w:rsidRPr="001F5897">
        <w:rPr>
          <w:rFonts w:eastAsiaTheme="minorHAnsi" w:cstheme="minorBidi"/>
          <w:lang w:eastAsia="en-US"/>
        </w:rPr>
        <w:t>Number of UTRs received from Non-Financial Institutions</w:t>
      </w:r>
      <w:r w:rsidRPr="001F5897">
        <w:rPr>
          <w:rFonts w:eastAsiaTheme="minorHAnsi" w:cstheme="minorBidi"/>
          <w:lang w:eastAsia="en-US"/>
        </w:rPr>
        <w:t xml:space="preserve"> in 2014</w:t>
      </w:r>
    </w:p>
    <w:tbl>
      <w:tblPr>
        <w:tblStyle w:val="Mriekatabuky3"/>
        <w:tblW w:w="0" w:type="auto"/>
        <w:tblLook w:val="04A0" w:firstRow="1" w:lastRow="0" w:firstColumn="1" w:lastColumn="0" w:noHBand="0" w:noVBand="1"/>
      </w:tblPr>
      <w:tblGrid>
        <w:gridCol w:w="4531"/>
        <w:gridCol w:w="4531"/>
      </w:tblGrid>
      <w:tr w:rsidR="00B712B6" w:rsidRPr="001F5897" w14:paraId="38CB5DCD" w14:textId="77777777" w:rsidTr="00D21CC6">
        <w:tc>
          <w:tcPr>
            <w:tcW w:w="9062" w:type="dxa"/>
            <w:gridSpan w:val="2"/>
            <w:shd w:val="clear" w:color="auto" w:fill="CCC0D9" w:themeFill="accent4" w:themeFillTint="66"/>
          </w:tcPr>
          <w:p w14:paraId="2990F31D" w14:textId="77777777" w:rsidR="00B712B6" w:rsidRPr="001F5897" w:rsidRDefault="008A70AF" w:rsidP="00D21CC6">
            <w:pPr>
              <w:spacing w:after="120"/>
              <w:jc w:val="center"/>
              <w:rPr>
                <w:rFonts w:eastAsiaTheme="minorHAnsi" w:cstheme="minorBidi"/>
                <w:b/>
                <w:sz w:val="24"/>
                <w:szCs w:val="24"/>
                <w:lang w:eastAsia="en-US"/>
              </w:rPr>
            </w:pPr>
            <w:r w:rsidRPr="001F5897">
              <w:rPr>
                <w:rFonts w:eastAsiaTheme="minorHAnsi" w:cstheme="minorBidi"/>
                <w:b/>
                <w:sz w:val="24"/>
                <w:szCs w:val="24"/>
                <w:lang w:eastAsia="en-US"/>
              </w:rPr>
              <w:t>Non-</w:t>
            </w:r>
            <w:r w:rsidR="009E018C" w:rsidRPr="001F5897">
              <w:rPr>
                <w:rFonts w:eastAsiaTheme="minorHAnsi" w:cstheme="minorBidi"/>
                <w:b/>
                <w:sz w:val="24"/>
                <w:szCs w:val="24"/>
                <w:lang w:eastAsia="en-US"/>
              </w:rPr>
              <w:t>financial I</w:t>
            </w:r>
            <w:r w:rsidRPr="001F5897">
              <w:rPr>
                <w:rFonts w:eastAsiaTheme="minorHAnsi" w:cstheme="minorBidi"/>
                <w:b/>
                <w:sz w:val="24"/>
                <w:szCs w:val="24"/>
                <w:lang w:eastAsia="en-US"/>
              </w:rPr>
              <w:t>nstitutions</w:t>
            </w:r>
            <w:r w:rsidR="00B712B6" w:rsidRPr="001F5897">
              <w:rPr>
                <w:rFonts w:eastAsiaTheme="minorHAnsi" w:cstheme="minorBidi"/>
                <w:b/>
                <w:sz w:val="24"/>
                <w:szCs w:val="24"/>
                <w:lang w:eastAsia="en-US"/>
              </w:rPr>
              <w:t xml:space="preserve"> </w:t>
            </w:r>
          </w:p>
        </w:tc>
      </w:tr>
      <w:tr w:rsidR="00B712B6" w:rsidRPr="001F5897" w14:paraId="35664FEF" w14:textId="77777777" w:rsidTr="00D21CC6">
        <w:tc>
          <w:tcPr>
            <w:tcW w:w="4531" w:type="dxa"/>
            <w:shd w:val="clear" w:color="auto" w:fill="CCC0D9" w:themeFill="accent4" w:themeFillTint="66"/>
          </w:tcPr>
          <w:p w14:paraId="6CDA5923" w14:textId="77777777" w:rsidR="00B712B6" w:rsidRPr="001F5897" w:rsidRDefault="008A70AF"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Obliged Entity</w:t>
            </w:r>
          </w:p>
        </w:tc>
        <w:tc>
          <w:tcPr>
            <w:tcW w:w="4531" w:type="dxa"/>
            <w:shd w:val="clear" w:color="auto" w:fill="CCC0D9" w:themeFill="accent4" w:themeFillTint="66"/>
          </w:tcPr>
          <w:p w14:paraId="0F9A817D" w14:textId="77777777" w:rsidR="00B712B6" w:rsidRPr="001F5897" w:rsidRDefault="008A70AF" w:rsidP="009E018C">
            <w:pPr>
              <w:spacing w:after="120"/>
              <w:jc w:val="center"/>
              <w:rPr>
                <w:rFonts w:eastAsiaTheme="minorHAnsi" w:cstheme="minorBidi"/>
                <w:sz w:val="24"/>
                <w:szCs w:val="24"/>
                <w:lang w:eastAsia="en-US"/>
              </w:rPr>
            </w:pPr>
            <w:r w:rsidRPr="001F5897">
              <w:rPr>
                <w:rFonts w:eastAsiaTheme="minorHAnsi" w:cstheme="minorBidi"/>
                <w:sz w:val="24"/>
                <w:szCs w:val="24"/>
                <w:lang w:eastAsia="en-US"/>
              </w:rPr>
              <w:t xml:space="preserve">Number of UTRs </w:t>
            </w:r>
          </w:p>
        </w:tc>
      </w:tr>
      <w:tr w:rsidR="00B712B6" w:rsidRPr="001F5897" w14:paraId="2EA7F9FC" w14:textId="77777777" w:rsidTr="00D21CC6">
        <w:tc>
          <w:tcPr>
            <w:tcW w:w="4531" w:type="dxa"/>
            <w:shd w:val="clear" w:color="auto" w:fill="E5DFEC" w:themeFill="accent4" w:themeFillTint="33"/>
          </w:tcPr>
          <w:p w14:paraId="31154E28" w14:textId="77777777" w:rsidR="00B712B6" w:rsidRPr="001F5897" w:rsidRDefault="008A70AF" w:rsidP="00D21CC6">
            <w:pPr>
              <w:spacing w:after="120"/>
              <w:jc w:val="left"/>
              <w:rPr>
                <w:rFonts w:eastAsiaTheme="minorHAnsi" w:cstheme="minorBidi"/>
                <w:sz w:val="24"/>
                <w:szCs w:val="24"/>
                <w:lang w:eastAsia="en-US"/>
              </w:rPr>
            </w:pPr>
            <w:r w:rsidRPr="001F5897">
              <w:rPr>
                <w:rFonts w:eastAsiaTheme="minorHAnsi" w:cstheme="minorBidi"/>
                <w:sz w:val="24"/>
                <w:szCs w:val="24"/>
                <w:lang w:eastAsia="en-US"/>
              </w:rPr>
              <w:t>Gambling game</w:t>
            </w:r>
            <w:r w:rsidR="009E018C" w:rsidRPr="001F5897">
              <w:rPr>
                <w:rFonts w:eastAsiaTheme="minorHAnsi" w:cstheme="minorBidi"/>
                <w:sz w:val="24"/>
                <w:szCs w:val="24"/>
                <w:lang w:eastAsia="en-US"/>
              </w:rPr>
              <w:t>s</w:t>
            </w:r>
            <w:r w:rsidRPr="001F5897">
              <w:rPr>
                <w:rFonts w:eastAsiaTheme="minorHAnsi" w:cstheme="minorBidi"/>
                <w:sz w:val="24"/>
                <w:szCs w:val="24"/>
                <w:lang w:eastAsia="en-US"/>
              </w:rPr>
              <w:t xml:space="preserve"> operators</w:t>
            </w:r>
            <w:r w:rsidR="00B712B6" w:rsidRPr="001F5897">
              <w:rPr>
                <w:rFonts w:eastAsiaTheme="minorHAnsi" w:cstheme="minorBidi"/>
                <w:sz w:val="24"/>
                <w:szCs w:val="24"/>
                <w:lang w:eastAsia="en-US"/>
              </w:rPr>
              <w:t xml:space="preserve"> </w:t>
            </w:r>
          </w:p>
        </w:tc>
        <w:tc>
          <w:tcPr>
            <w:tcW w:w="4531" w:type="dxa"/>
            <w:shd w:val="clear" w:color="auto" w:fill="E5DFEC" w:themeFill="accent4" w:themeFillTint="33"/>
          </w:tcPr>
          <w:p w14:paraId="19640F34"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6</w:t>
            </w:r>
          </w:p>
        </w:tc>
      </w:tr>
      <w:tr w:rsidR="00B712B6" w:rsidRPr="001F5897" w14:paraId="47C869C1" w14:textId="77777777" w:rsidTr="00D21CC6">
        <w:tc>
          <w:tcPr>
            <w:tcW w:w="4531" w:type="dxa"/>
            <w:shd w:val="clear" w:color="auto" w:fill="E5DFEC" w:themeFill="accent4" w:themeFillTint="33"/>
          </w:tcPr>
          <w:p w14:paraId="7D2E05F2" w14:textId="77777777" w:rsidR="00B712B6" w:rsidRPr="001F5897" w:rsidRDefault="008A70AF" w:rsidP="008A70AF">
            <w:pPr>
              <w:spacing w:after="120"/>
              <w:jc w:val="left"/>
              <w:rPr>
                <w:rFonts w:eastAsiaTheme="minorHAnsi" w:cstheme="minorBidi"/>
                <w:sz w:val="24"/>
                <w:szCs w:val="24"/>
                <w:lang w:eastAsia="en-US"/>
              </w:rPr>
            </w:pPr>
            <w:r w:rsidRPr="001F5897">
              <w:rPr>
                <w:rFonts w:eastAsiaTheme="minorHAnsi" w:cstheme="minorBidi"/>
                <w:sz w:val="24"/>
                <w:szCs w:val="24"/>
                <w:lang w:eastAsia="en-US"/>
              </w:rPr>
              <w:t xml:space="preserve">Postal </w:t>
            </w:r>
            <w:r w:rsidR="009E018C" w:rsidRPr="001F5897">
              <w:rPr>
                <w:rFonts w:eastAsiaTheme="minorHAnsi" w:cstheme="minorBidi"/>
                <w:sz w:val="24"/>
                <w:szCs w:val="24"/>
                <w:lang w:eastAsia="en-US"/>
              </w:rPr>
              <w:t>undertaking</w:t>
            </w:r>
          </w:p>
        </w:tc>
        <w:tc>
          <w:tcPr>
            <w:tcW w:w="4531" w:type="dxa"/>
            <w:shd w:val="clear" w:color="auto" w:fill="E5DFEC" w:themeFill="accent4" w:themeFillTint="33"/>
          </w:tcPr>
          <w:p w14:paraId="69A7071A"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108</w:t>
            </w:r>
          </w:p>
        </w:tc>
      </w:tr>
      <w:tr w:rsidR="00B712B6" w:rsidRPr="001F5897" w14:paraId="467E4C43" w14:textId="77777777" w:rsidTr="00D21CC6">
        <w:tc>
          <w:tcPr>
            <w:tcW w:w="4531" w:type="dxa"/>
            <w:shd w:val="clear" w:color="auto" w:fill="E5DFEC" w:themeFill="accent4" w:themeFillTint="33"/>
          </w:tcPr>
          <w:p w14:paraId="6E8DEDDF" w14:textId="77777777" w:rsidR="00B712B6" w:rsidRPr="001F5897" w:rsidRDefault="009E018C" w:rsidP="00D21CC6">
            <w:pPr>
              <w:spacing w:after="120"/>
              <w:jc w:val="left"/>
              <w:rPr>
                <w:rFonts w:eastAsiaTheme="minorHAnsi" w:cstheme="minorBidi"/>
                <w:sz w:val="24"/>
                <w:szCs w:val="24"/>
                <w:lang w:eastAsia="en-US"/>
              </w:rPr>
            </w:pPr>
            <w:r w:rsidRPr="001F5897">
              <w:rPr>
                <w:rFonts w:eastAsiaTheme="minorHAnsi" w:cstheme="minorBidi"/>
                <w:sz w:val="24"/>
                <w:szCs w:val="24"/>
                <w:lang w:eastAsia="en-US"/>
              </w:rPr>
              <w:t>Real Estate Agency</w:t>
            </w:r>
          </w:p>
        </w:tc>
        <w:tc>
          <w:tcPr>
            <w:tcW w:w="4531" w:type="dxa"/>
            <w:shd w:val="clear" w:color="auto" w:fill="E5DFEC" w:themeFill="accent4" w:themeFillTint="33"/>
          </w:tcPr>
          <w:p w14:paraId="55EB7F45"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1</w:t>
            </w:r>
          </w:p>
        </w:tc>
      </w:tr>
      <w:tr w:rsidR="00B712B6" w:rsidRPr="001F5897" w14:paraId="20022A87" w14:textId="77777777" w:rsidTr="00D21CC6">
        <w:tc>
          <w:tcPr>
            <w:tcW w:w="4531" w:type="dxa"/>
            <w:shd w:val="clear" w:color="auto" w:fill="E5DFEC" w:themeFill="accent4" w:themeFillTint="33"/>
          </w:tcPr>
          <w:p w14:paraId="76408A24" w14:textId="77777777" w:rsidR="00B712B6" w:rsidRPr="001F5897" w:rsidRDefault="009E018C" w:rsidP="009E018C">
            <w:pPr>
              <w:spacing w:after="120"/>
              <w:jc w:val="left"/>
              <w:rPr>
                <w:rFonts w:eastAsiaTheme="minorHAnsi" w:cstheme="minorBidi"/>
                <w:sz w:val="24"/>
                <w:szCs w:val="24"/>
                <w:lang w:eastAsia="en-US"/>
              </w:rPr>
            </w:pPr>
            <w:r w:rsidRPr="001F5897">
              <w:rPr>
                <w:rFonts w:eastAsiaTheme="minorHAnsi" w:cstheme="minorBidi"/>
                <w:sz w:val="24"/>
                <w:szCs w:val="24"/>
                <w:lang w:eastAsia="en-US"/>
              </w:rPr>
              <w:t>Provider of financial leasing</w:t>
            </w:r>
          </w:p>
        </w:tc>
        <w:tc>
          <w:tcPr>
            <w:tcW w:w="4531" w:type="dxa"/>
            <w:shd w:val="clear" w:color="auto" w:fill="E5DFEC" w:themeFill="accent4" w:themeFillTint="33"/>
          </w:tcPr>
          <w:p w14:paraId="2500852F"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25</w:t>
            </w:r>
          </w:p>
        </w:tc>
      </w:tr>
      <w:tr w:rsidR="00B712B6" w:rsidRPr="001F5897" w14:paraId="22E57A5A" w14:textId="77777777" w:rsidTr="00D21CC6">
        <w:tc>
          <w:tcPr>
            <w:tcW w:w="4531" w:type="dxa"/>
            <w:shd w:val="clear" w:color="auto" w:fill="E5DFEC" w:themeFill="accent4" w:themeFillTint="33"/>
          </w:tcPr>
          <w:p w14:paraId="0E263757" w14:textId="77777777" w:rsidR="00B712B6" w:rsidRPr="001F5897" w:rsidRDefault="008A70AF" w:rsidP="008A70AF">
            <w:pPr>
              <w:spacing w:after="120"/>
              <w:jc w:val="left"/>
              <w:rPr>
                <w:rFonts w:eastAsiaTheme="minorHAnsi" w:cstheme="minorBidi"/>
                <w:sz w:val="24"/>
                <w:szCs w:val="24"/>
                <w:lang w:eastAsia="en-US"/>
              </w:rPr>
            </w:pPr>
            <w:r w:rsidRPr="001F5897">
              <w:rPr>
                <w:rFonts w:eastAsiaTheme="minorHAnsi" w:cstheme="minorBidi"/>
                <w:sz w:val="24"/>
                <w:szCs w:val="24"/>
                <w:lang w:eastAsia="en-US"/>
              </w:rPr>
              <w:t>Advocate</w:t>
            </w:r>
            <w:r w:rsidR="00B712B6" w:rsidRPr="001F5897">
              <w:rPr>
                <w:rFonts w:eastAsiaTheme="minorHAnsi" w:cstheme="minorBidi"/>
                <w:sz w:val="24"/>
                <w:szCs w:val="24"/>
                <w:lang w:eastAsia="en-US"/>
              </w:rPr>
              <w:t xml:space="preserve">, </w:t>
            </w:r>
            <w:r w:rsidRPr="001F5897">
              <w:rPr>
                <w:rFonts w:eastAsiaTheme="minorHAnsi" w:cstheme="minorBidi"/>
                <w:sz w:val="24"/>
                <w:szCs w:val="24"/>
                <w:lang w:eastAsia="en-US"/>
              </w:rPr>
              <w:t>notary</w:t>
            </w:r>
          </w:p>
        </w:tc>
        <w:tc>
          <w:tcPr>
            <w:tcW w:w="4531" w:type="dxa"/>
            <w:shd w:val="clear" w:color="auto" w:fill="E5DFEC" w:themeFill="accent4" w:themeFillTint="33"/>
          </w:tcPr>
          <w:p w14:paraId="6B25C438"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1</w:t>
            </w:r>
          </w:p>
        </w:tc>
      </w:tr>
      <w:tr w:rsidR="00B712B6" w:rsidRPr="001F5897" w14:paraId="7E18549E" w14:textId="77777777" w:rsidTr="00D21CC6">
        <w:tc>
          <w:tcPr>
            <w:tcW w:w="4531" w:type="dxa"/>
            <w:shd w:val="clear" w:color="auto" w:fill="E5DFEC" w:themeFill="accent4" w:themeFillTint="33"/>
          </w:tcPr>
          <w:p w14:paraId="589398A6" w14:textId="77777777" w:rsidR="00B712B6" w:rsidRPr="001F5897" w:rsidRDefault="008A70AF" w:rsidP="00D21CC6">
            <w:pPr>
              <w:spacing w:after="120"/>
              <w:jc w:val="left"/>
              <w:rPr>
                <w:rFonts w:eastAsiaTheme="minorHAnsi" w:cstheme="minorBidi"/>
                <w:sz w:val="24"/>
                <w:szCs w:val="24"/>
                <w:lang w:eastAsia="en-US"/>
              </w:rPr>
            </w:pPr>
            <w:r w:rsidRPr="001F5897">
              <w:rPr>
                <w:rFonts w:eastAsiaTheme="minorHAnsi" w:cstheme="minorBidi"/>
                <w:sz w:val="24"/>
                <w:szCs w:val="24"/>
                <w:lang w:eastAsia="en-US"/>
              </w:rPr>
              <w:t>Other non-financial subjects</w:t>
            </w:r>
            <w:r w:rsidR="00B712B6" w:rsidRPr="001F5897">
              <w:rPr>
                <w:rFonts w:eastAsiaTheme="minorHAnsi" w:cstheme="minorBidi"/>
                <w:sz w:val="24"/>
                <w:szCs w:val="24"/>
                <w:lang w:eastAsia="en-US"/>
              </w:rPr>
              <w:t xml:space="preserve"> </w:t>
            </w:r>
          </w:p>
        </w:tc>
        <w:tc>
          <w:tcPr>
            <w:tcW w:w="4531" w:type="dxa"/>
            <w:shd w:val="clear" w:color="auto" w:fill="E5DFEC" w:themeFill="accent4" w:themeFillTint="33"/>
          </w:tcPr>
          <w:p w14:paraId="3153FCDC" w14:textId="77777777" w:rsidR="00B712B6" w:rsidRPr="001F5897" w:rsidRDefault="00B712B6" w:rsidP="00D21CC6">
            <w:pPr>
              <w:spacing w:after="120"/>
              <w:jc w:val="center"/>
              <w:rPr>
                <w:rFonts w:eastAsiaTheme="minorHAnsi" w:cstheme="minorBidi"/>
                <w:sz w:val="24"/>
                <w:szCs w:val="24"/>
                <w:lang w:eastAsia="en-US"/>
              </w:rPr>
            </w:pPr>
            <w:r w:rsidRPr="001F5897">
              <w:rPr>
                <w:rFonts w:eastAsiaTheme="minorHAnsi" w:cstheme="minorBidi"/>
                <w:sz w:val="24"/>
                <w:szCs w:val="24"/>
                <w:lang w:eastAsia="en-US"/>
              </w:rPr>
              <w:t>14</w:t>
            </w:r>
          </w:p>
        </w:tc>
      </w:tr>
      <w:tr w:rsidR="00B712B6" w:rsidRPr="001F5897" w14:paraId="2F422FAC" w14:textId="77777777" w:rsidTr="00D21CC6">
        <w:tc>
          <w:tcPr>
            <w:tcW w:w="4531" w:type="dxa"/>
            <w:shd w:val="clear" w:color="auto" w:fill="CCC0D9" w:themeFill="accent4" w:themeFillTint="66"/>
          </w:tcPr>
          <w:p w14:paraId="0673234B" w14:textId="77777777" w:rsidR="00B712B6" w:rsidRPr="001F5897" w:rsidRDefault="008A70AF" w:rsidP="00D21CC6">
            <w:pPr>
              <w:spacing w:after="120"/>
              <w:jc w:val="left"/>
              <w:rPr>
                <w:rFonts w:eastAsiaTheme="minorHAnsi" w:cstheme="minorBidi"/>
                <w:b/>
                <w:sz w:val="24"/>
                <w:szCs w:val="24"/>
                <w:lang w:eastAsia="en-US"/>
              </w:rPr>
            </w:pPr>
            <w:r w:rsidRPr="001F5897">
              <w:rPr>
                <w:rFonts w:eastAsiaTheme="minorHAnsi" w:cstheme="minorBidi"/>
                <w:b/>
                <w:sz w:val="24"/>
                <w:szCs w:val="24"/>
                <w:lang w:eastAsia="en-US"/>
              </w:rPr>
              <w:t>Total</w:t>
            </w:r>
            <w:r w:rsidR="00B712B6" w:rsidRPr="001F5897">
              <w:rPr>
                <w:rFonts w:eastAsiaTheme="minorHAnsi" w:cstheme="minorBidi"/>
                <w:b/>
                <w:sz w:val="24"/>
                <w:szCs w:val="24"/>
                <w:lang w:eastAsia="en-US"/>
              </w:rPr>
              <w:t xml:space="preserve"> </w:t>
            </w:r>
          </w:p>
        </w:tc>
        <w:tc>
          <w:tcPr>
            <w:tcW w:w="4531" w:type="dxa"/>
            <w:shd w:val="clear" w:color="auto" w:fill="CCC0D9" w:themeFill="accent4" w:themeFillTint="66"/>
          </w:tcPr>
          <w:p w14:paraId="0A1DAB52" w14:textId="77777777" w:rsidR="00B712B6" w:rsidRPr="001F5897" w:rsidRDefault="00B712B6" w:rsidP="00D21CC6">
            <w:pPr>
              <w:spacing w:after="120"/>
              <w:jc w:val="center"/>
              <w:rPr>
                <w:rFonts w:eastAsiaTheme="minorHAnsi" w:cstheme="minorBidi"/>
                <w:b/>
                <w:sz w:val="24"/>
                <w:szCs w:val="24"/>
                <w:lang w:eastAsia="en-US"/>
              </w:rPr>
            </w:pPr>
            <w:r w:rsidRPr="001F5897">
              <w:rPr>
                <w:rFonts w:eastAsiaTheme="minorHAnsi" w:cstheme="minorBidi"/>
                <w:b/>
                <w:sz w:val="24"/>
                <w:szCs w:val="24"/>
                <w:lang w:eastAsia="en-US"/>
              </w:rPr>
              <w:t>155</w:t>
            </w:r>
          </w:p>
        </w:tc>
      </w:tr>
    </w:tbl>
    <w:p w14:paraId="192BACE2" w14:textId="77777777" w:rsidR="00B712B6" w:rsidRPr="001F5897" w:rsidRDefault="00B712B6" w:rsidP="00B712B6">
      <w:pPr>
        <w:spacing w:after="120"/>
        <w:rPr>
          <w:rFonts w:eastAsiaTheme="minorHAnsi" w:cstheme="minorBidi"/>
          <w:sz w:val="24"/>
          <w:szCs w:val="24"/>
          <w:lang w:eastAsia="en-US"/>
        </w:rPr>
      </w:pPr>
    </w:p>
    <w:p w14:paraId="3B9413F2" w14:textId="77777777" w:rsidR="00B712B6" w:rsidRPr="001F5897" w:rsidRDefault="00B712B6" w:rsidP="00B712B6">
      <w:pPr>
        <w:spacing w:after="120"/>
        <w:rPr>
          <w:rFonts w:eastAsiaTheme="minorHAnsi" w:cstheme="minorBidi"/>
          <w:sz w:val="24"/>
          <w:szCs w:val="24"/>
          <w:lang w:eastAsia="en-US"/>
        </w:rPr>
      </w:pPr>
    </w:p>
    <w:p w14:paraId="3ACE0D72" w14:textId="77777777" w:rsidR="00B712B6" w:rsidRPr="001F5897" w:rsidRDefault="00B712B6" w:rsidP="00B712B6">
      <w:pPr>
        <w:pStyle w:val="Podnadpis"/>
      </w:pPr>
      <w:bookmarkStart w:id="3" w:name="_Toc412466386"/>
      <w:r w:rsidRPr="001F5897">
        <w:t xml:space="preserve">2.2 </w:t>
      </w:r>
      <w:bookmarkEnd w:id="3"/>
      <w:r w:rsidR="00BA1472" w:rsidRPr="001F5897">
        <w:t>Postponement of Unusual Transactions</w:t>
      </w:r>
    </w:p>
    <w:p w14:paraId="0DE6A2C9" w14:textId="77777777" w:rsidR="00B712B6" w:rsidRPr="001F5897" w:rsidRDefault="00B712B6" w:rsidP="00B712B6">
      <w:pPr>
        <w:spacing w:after="120"/>
        <w:rPr>
          <w:rFonts w:eastAsiaTheme="minorHAnsi" w:cstheme="minorBidi"/>
          <w:sz w:val="24"/>
          <w:szCs w:val="24"/>
          <w:lang w:eastAsia="en-US"/>
        </w:rPr>
      </w:pPr>
    </w:p>
    <w:p w14:paraId="63FFC0B9" w14:textId="56D40A6B" w:rsidR="00B712B6" w:rsidRPr="001F5897" w:rsidRDefault="00BA1472" w:rsidP="00892929">
      <w:pPr>
        <w:rPr>
          <w:rFonts w:eastAsiaTheme="minorHAnsi" w:cstheme="minorBidi"/>
          <w:sz w:val="24"/>
          <w:szCs w:val="24"/>
          <w:lang w:eastAsia="en-US"/>
        </w:rPr>
      </w:pPr>
      <w:r w:rsidRPr="001F5897">
        <w:rPr>
          <w:rFonts w:eastAsiaTheme="minorHAnsi" w:cstheme="minorBidi"/>
          <w:sz w:val="24"/>
          <w:szCs w:val="24"/>
          <w:lang w:eastAsia="en-US"/>
        </w:rPr>
        <w:t xml:space="preserve">     </w:t>
      </w:r>
      <w:r w:rsidR="00705AD5" w:rsidRPr="001F5897">
        <w:rPr>
          <w:rFonts w:eastAsiaTheme="minorHAnsi" w:cstheme="minorBidi"/>
          <w:sz w:val="24"/>
          <w:szCs w:val="24"/>
          <w:lang w:eastAsia="en-US"/>
        </w:rPr>
        <w:t>The institute of the postponement of unusual transactions</w:t>
      </w:r>
      <w:r w:rsidRPr="001F5897">
        <w:rPr>
          <w:rFonts w:eastAsiaTheme="minorHAnsi" w:cstheme="minorBidi"/>
          <w:sz w:val="24"/>
          <w:szCs w:val="24"/>
          <w:lang w:eastAsia="en-US"/>
        </w:rPr>
        <w:t xml:space="preserve"> has great value in connection with </w:t>
      </w:r>
      <w:r w:rsidR="00705AD5" w:rsidRPr="001F5897">
        <w:rPr>
          <w:rFonts w:eastAsiaTheme="minorHAnsi" w:cstheme="minorBidi"/>
          <w:sz w:val="24"/>
          <w:szCs w:val="24"/>
          <w:lang w:eastAsia="en-US"/>
        </w:rPr>
        <w:t xml:space="preserve">the </w:t>
      </w:r>
      <w:r w:rsidRPr="001F5897">
        <w:rPr>
          <w:rFonts w:eastAsiaTheme="minorHAnsi" w:cstheme="minorBidi"/>
          <w:sz w:val="24"/>
          <w:szCs w:val="24"/>
          <w:lang w:eastAsia="en-US"/>
        </w:rPr>
        <w:t xml:space="preserve">timeliness and efficiency of measures, which FSJ may perform </w:t>
      </w:r>
      <w:r w:rsidR="0018211C" w:rsidRPr="001F5897">
        <w:rPr>
          <w:rFonts w:eastAsiaTheme="minorHAnsi" w:cstheme="minorBidi"/>
          <w:sz w:val="24"/>
          <w:szCs w:val="24"/>
          <w:lang w:eastAsia="en-US"/>
        </w:rPr>
        <w:t xml:space="preserve">after </w:t>
      </w:r>
      <w:r w:rsidR="00705AD5" w:rsidRPr="001F5897">
        <w:rPr>
          <w:rFonts w:eastAsiaTheme="minorHAnsi" w:cstheme="minorBidi"/>
          <w:sz w:val="24"/>
          <w:szCs w:val="24"/>
          <w:lang w:eastAsia="en-US"/>
        </w:rPr>
        <w:t xml:space="preserve">a </w:t>
      </w:r>
      <w:proofErr w:type="gramStart"/>
      <w:r w:rsidR="0018211C" w:rsidRPr="001F5897">
        <w:rPr>
          <w:rFonts w:eastAsiaTheme="minorHAnsi" w:cstheme="minorBidi"/>
          <w:sz w:val="24"/>
          <w:szCs w:val="24"/>
          <w:lang w:eastAsia="en-US"/>
        </w:rPr>
        <w:t>report</w:t>
      </w:r>
      <w:proofErr w:type="gramEnd"/>
      <w:r w:rsidR="00705AD5" w:rsidRPr="001F5897">
        <w:rPr>
          <w:rFonts w:eastAsiaTheme="minorHAnsi" w:cstheme="minorBidi"/>
          <w:sz w:val="24"/>
          <w:szCs w:val="24"/>
          <w:lang w:eastAsia="en-US"/>
        </w:rPr>
        <w:t xml:space="preserve"> has been made</w:t>
      </w:r>
      <w:r w:rsidR="0018211C" w:rsidRPr="001F5897">
        <w:rPr>
          <w:rFonts w:eastAsiaTheme="minorHAnsi" w:cstheme="minorBidi"/>
          <w:sz w:val="24"/>
          <w:szCs w:val="24"/>
          <w:lang w:eastAsia="en-US"/>
        </w:rPr>
        <w:t xml:space="preserve">. </w:t>
      </w:r>
      <w:r w:rsidR="00705AD5" w:rsidRPr="001F5897">
        <w:rPr>
          <w:rFonts w:eastAsiaTheme="minorHAnsi" w:cstheme="minorBidi"/>
          <w:sz w:val="24"/>
          <w:szCs w:val="24"/>
          <w:lang w:eastAsia="en-US"/>
        </w:rPr>
        <w:t>If</w:t>
      </w:r>
      <w:r w:rsidR="0018211C" w:rsidRPr="001F5897">
        <w:rPr>
          <w:rFonts w:eastAsiaTheme="minorHAnsi" w:cstheme="minorBidi"/>
          <w:sz w:val="24"/>
          <w:szCs w:val="24"/>
          <w:lang w:eastAsia="en-US"/>
        </w:rPr>
        <w:t xml:space="preserve"> the</w:t>
      </w:r>
      <w:r w:rsidR="00705AD5" w:rsidRPr="001F5897">
        <w:rPr>
          <w:rFonts w:eastAsiaTheme="minorHAnsi" w:cstheme="minorBidi"/>
          <w:sz w:val="24"/>
          <w:szCs w:val="24"/>
          <w:lang w:eastAsia="en-US"/>
        </w:rPr>
        <w:t xml:space="preserve"> above </w:t>
      </w:r>
      <w:r w:rsidR="00FE595A" w:rsidRPr="001F5897">
        <w:rPr>
          <w:rFonts w:eastAsiaTheme="minorHAnsi" w:cstheme="minorBidi"/>
          <w:sz w:val="24"/>
          <w:szCs w:val="24"/>
          <w:lang w:eastAsia="en-US"/>
        </w:rPr>
        <w:t>mentioned practice</w:t>
      </w:r>
      <w:r w:rsidR="00705AD5" w:rsidRPr="001F5897">
        <w:rPr>
          <w:rFonts w:eastAsiaTheme="minorHAnsi" w:cstheme="minorBidi"/>
          <w:sz w:val="24"/>
          <w:szCs w:val="24"/>
          <w:lang w:eastAsia="en-US"/>
        </w:rPr>
        <w:t xml:space="preserve"> was absent</w:t>
      </w:r>
      <w:r w:rsidR="0018211C" w:rsidRPr="001F5897">
        <w:rPr>
          <w:rFonts w:eastAsiaTheme="minorHAnsi" w:cstheme="minorBidi"/>
          <w:sz w:val="24"/>
          <w:szCs w:val="24"/>
          <w:lang w:eastAsia="en-US"/>
        </w:rPr>
        <w:t xml:space="preserve"> FSJ could not</w:t>
      </w:r>
      <w:r w:rsidR="00892929" w:rsidRPr="001F5897">
        <w:rPr>
          <w:rFonts w:eastAsiaTheme="minorHAnsi" w:cstheme="minorBidi"/>
          <w:sz w:val="24"/>
          <w:szCs w:val="24"/>
          <w:lang w:eastAsia="en-US"/>
        </w:rPr>
        <w:t xml:space="preserve"> affect on-going business transaction</w:t>
      </w:r>
      <w:r w:rsidR="00705AD5" w:rsidRPr="001F5897">
        <w:rPr>
          <w:rFonts w:eastAsiaTheme="minorHAnsi" w:cstheme="minorBidi"/>
          <w:sz w:val="24"/>
          <w:szCs w:val="24"/>
          <w:lang w:eastAsia="en-US"/>
        </w:rPr>
        <w:t>s</w:t>
      </w:r>
      <w:r w:rsidR="00892929" w:rsidRPr="001F5897">
        <w:rPr>
          <w:rFonts w:eastAsiaTheme="minorHAnsi" w:cstheme="minorBidi"/>
          <w:sz w:val="24"/>
          <w:szCs w:val="24"/>
          <w:lang w:eastAsia="en-US"/>
        </w:rPr>
        <w:t xml:space="preserve"> effectively.</w:t>
      </w:r>
      <w:r w:rsidR="0018211C" w:rsidRPr="001F5897">
        <w:rPr>
          <w:rFonts w:eastAsiaTheme="minorHAnsi" w:cstheme="minorBidi"/>
          <w:sz w:val="24"/>
          <w:szCs w:val="24"/>
          <w:lang w:eastAsia="en-US"/>
        </w:rPr>
        <w:t xml:space="preserve"> The effectiveness of </w:t>
      </w:r>
      <w:r w:rsidR="00705AD5" w:rsidRPr="001F5897">
        <w:rPr>
          <w:rFonts w:eastAsiaTheme="minorHAnsi" w:cstheme="minorBidi"/>
          <w:sz w:val="24"/>
          <w:szCs w:val="24"/>
          <w:lang w:eastAsia="en-US"/>
        </w:rPr>
        <w:t xml:space="preserve">the </w:t>
      </w:r>
      <w:r w:rsidR="0018211C" w:rsidRPr="001F5897">
        <w:rPr>
          <w:rFonts w:eastAsiaTheme="minorHAnsi" w:cstheme="minorBidi"/>
          <w:sz w:val="24"/>
          <w:szCs w:val="24"/>
          <w:lang w:eastAsia="en-US"/>
        </w:rPr>
        <w:t>measures focused on</w:t>
      </w:r>
      <w:r w:rsidR="00705AD5" w:rsidRPr="001F5897">
        <w:rPr>
          <w:rFonts w:eastAsiaTheme="minorHAnsi" w:cstheme="minorBidi"/>
          <w:sz w:val="24"/>
          <w:szCs w:val="24"/>
          <w:lang w:eastAsia="en-US"/>
        </w:rPr>
        <w:t xml:space="preserve"> the</w:t>
      </w:r>
      <w:r w:rsidR="0018211C" w:rsidRPr="001F5897">
        <w:rPr>
          <w:rFonts w:eastAsiaTheme="minorHAnsi" w:cstheme="minorBidi"/>
          <w:sz w:val="24"/>
          <w:szCs w:val="24"/>
          <w:lang w:eastAsia="en-US"/>
        </w:rPr>
        <w:t xml:space="preserve"> verification of business transaction</w:t>
      </w:r>
      <w:r w:rsidR="00705AD5" w:rsidRPr="001F5897">
        <w:rPr>
          <w:rFonts w:eastAsiaTheme="minorHAnsi" w:cstheme="minorBidi"/>
          <w:sz w:val="24"/>
          <w:szCs w:val="24"/>
          <w:lang w:eastAsia="en-US"/>
        </w:rPr>
        <w:t>s</w:t>
      </w:r>
      <w:r w:rsidR="0018211C" w:rsidRPr="001F5897">
        <w:rPr>
          <w:rFonts w:eastAsiaTheme="minorHAnsi" w:cstheme="minorBidi"/>
          <w:sz w:val="24"/>
          <w:szCs w:val="24"/>
          <w:lang w:eastAsia="en-US"/>
        </w:rPr>
        <w:t>, its documentation and possible seizure of proceeds from criminal activity, or funds used financ</w:t>
      </w:r>
      <w:r w:rsidR="00705AD5" w:rsidRPr="001F5897">
        <w:rPr>
          <w:rFonts w:eastAsiaTheme="minorHAnsi" w:cstheme="minorBidi"/>
          <w:sz w:val="24"/>
          <w:szCs w:val="24"/>
          <w:lang w:eastAsia="en-US"/>
        </w:rPr>
        <w:t>e</w:t>
      </w:r>
      <w:r w:rsidR="0018211C" w:rsidRPr="001F5897">
        <w:rPr>
          <w:rFonts w:eastAsiaTheme="minorHAnsi" w:cstheme="minorBidi"/>
          <w:sz w:val="24"/>
          <w:szCs w:val="24"/>
          <w:lang w:eastAsia="en-US"/>
        </w:rPr>
        <w:t xml:space="preserve"> terrorism </w:t>
      </w:r>
      <w:r w:rsidR="00705AD5" w:rsidRPr="001F5897">
        <w:rPr>
          <w:rFonts w:eastAsiaTheme="minorHAnsi" w:cstheme="minorBidi"/>
          <w:sz w:val="24"/>
          <w:szCs w:val="24"/>
          <w:lang w:eastAsia="en-US"/>
        </w:rPr>
        <w:t>would</w:t>
      </w:r>
      <w:r w:rsidR="0018211C" w:rsidRPr="001F5897">
        <w:rPr>
          <w:rFonts w:eastAsiaTheme="minorHAnsi" w:cstheme="minorBidi"/>
          <w:sz w:val="24"/>
          <w:szCs w:val="24"/>
          <w:lang w:eastAsia="en-US"/>
        </w:rPr>
        <w:t xml:space="preserve"> be minimal and forceless. </w:t>
      </w:r>
    </w:p>
    <w:p w14:paraId="659172E3" w14:textId="77777777" w:rsidR="00892929" w:rsidRPr="001F5897" w:rsidRDefault="00892929" w:rsidP="00892929">
      <w:pPr>
        <w:rPr>
          <w:rFonts w:eastAsiaTheme="minorHAnsi" w:cstheme="minorBidi"/>
          <w:sz w:val="24"/>
          <w:szCs w:val="24"/>
          <w:lang w:eastAsia="en-US"/>
        </w:rPr>
      </w:pPr>
    </w:p>
    <w:p w14:paraId="17F16E12" w14:textId="1FA0A0BC" w:rsidR="0033779C" w:rsidRPr="001F5897" w:rsidRDefault="00F8567B" w:rsidP="00892929">
      <w:pPr>
        <w:rPr>
          <w:rFonts w:eastAsiaTheme="minorHAnsi" w:cstheme="minorBidi"/>
          <w:sz w:val="24"/>
          <w:szCs w:val="24"/>
          <w:lang w:eastAsia="en-US"/>
        </w:rPr>
      </w:pPr>
      <w:r w:rsidRPr="001F5897">
        <w:rPr>
          <w:rFonts w:eastAsiaTheme="minorHAnsi" w:cstheme="minorBidi"/>
          <w:sz w:val="24"/>
          <w:szCs w:val="24"/>
          <w:lang w:eastAsia="en-US"/>
        </w:rPr>
        <w:t xml:space="preserve">     </w:t>
      </w:r>
      <w:r w:rsidR="0033779C" w:rsidRPr="001F5897">
        <w:rPr>
          <w:rFonts w:eastAsiaTheme="minorHAnsi" w:cstheme="minorBidi"/>
          <w:sz w:val="24"/>
          <w:szCs w:val="24"/>
          <w:lang w:eastAsia="en-US"/>
        </w:rPr>
        <w:t xml:space="preserve">Realization of postponement and consequent seizure of the funds in criminal proceeding is ensured by the </w:t>
      </w:r>
      <w:r w:rsidRPr="001F5897">
        <w:rPr>
          <w:rFonts w:eastAsiaTheme="minorHAnsi" w:cstheme="minorBidi"/>
          <w:sz w:val="24"/>
          <w:szCs w:val="24"/>
          <w:lang w:eastAsia="en-US"/>
        </w:rPr>
        <w:t>on-going</w:t>
      </w:r>
      <w:r w:rsidR="0033779C" w:rsidRPr="001F5897">
        <w:rPr>
          <w:rFonts w:eastAsiaTheme="minorHAnsi" w:cstheme="minorBidi"/>
          <w:sz w:val="24"/>
          <w:szCs w:val="24"/>
          <w:lang w:eastAsia="en-US"/>
        </w:rPr>
        <w:t xml:space="preserve"> supervision and verification of transactions in real time.</w:t>
      </w:r>
    </w:p>
    <w:p w14:paraId="241868D4" w14:textId="77777777" w:rsidR="0033779C" w:rsidRPr="001F5897" w:rsidRDefault="0033779C" w:rsidP="00892929">
      <w:pPr>
        <w:rPr>
          <w:rFonts w:eastAsiaTheme="minorHAnsi" w:cstheme="minorBidi"/>
          <w:sz w:val="24"/>
          <w:szCs w:val="24"/>
          <w:lang w:eastAsia="en-US"/>
        </w:rPr>
      </w:pPr>
    </w:p>
    <w:p w14:paraId="577A6102" w14:textId="597FD0E1" w:rsidR="0033779C" w:rsidRPr="001F5897" w:rsidRDefault="000B34CA" w:rsidP="00892929">
      <w:pPr>
        <w:rPr>
          <w:rFonts w:eastAsiaTheme="minorHAnsi" w:cstheme="minorBidi"/>
          <w:sz w:val="24"/>
          <w:szCs w:val="24"/>
          <w:lang w:eastAsia="en-US"/>
        </w:rPr>
      </w:pPr>
      <w:r w:rsidRPr="001F5897">
        <w:rPr>
          <w:rFonts w:eastAsiaTheme="minorHAnsi" w:cstheme="minorBidi"/>
          <w:sz w:val="24"/>
          <w:szCs w:val="24"/>
          <w:lang w:eastAsia="en-US"/>
        </w:rPr>
        <w:t xml:space="preserve">     </w:t>
      </w:r>
      <w:r w:rsidR="0033779C" w:rsidRPr="001F5897">
        <w:rPr>
          <w:rFonts w:eastAsiaTheme="minorHAnsi" w:cstheme="minorBidi"/>
          <w:sz w:val="24"/>
          <w:szCs w:val="24"/>
          <w:lang w:eastAsia="en-US"/>
        </w:rPr>
        <w:t xml:space="preserve">In 2014 </w:t>
      </w:r>
      <w:r w:rsidR="00705AD5" w:rsidRPr="001F5897">
        <w:rPr>
          <w:rFonts w:eastAsiaTheme="minorHAnsi" w:cstheme="minorBidi"/>
          <w:sz w:val="24"/>
          <w:szCs w:val="24"/>
          <w:lang w:eastAsia="en-US"/>
        </w:rPr>
        <w:t xml:space="preserve">a total of </w:t>
      </w:r>
      <w:r w:rsidR="0033779C" w:rsidRPr="001F5897">
        <w:rPr>
          <w:rFonts w:eastAsiaTheme="minorHAnsi" w:cstheme="minorBidi"/>
          <w:sz w:val="24"/>
          <w:szCs w:val="24"/>
          <w:lang w:eastAsia="en-US"/>
        </w:rPr>
        <w:t>141 UTRs in total amount of 7.017.330</w:t>
      </w:r>
      <w:proofErr w:type="gramStart"/>
      <w:r w:rsidR="0033779C" w:rsidRPr="001F5897">
        <w:rPr>
          <w:rFonts w:eastAsiaTheme="minorHAnsi" w:cstheme="minorBidi"/>
          <w:sz w:val="24"/>
          <w:szCs w:val="24"/>
          <w:lang w:eastAsia="en-US"/>
        </w:rPr>
        <w:t>,15</w:t>
      </w:r>
      <w:proofErr w:type="gramEnd"/>
      <w:r w:rsidR="0033779C" w:rsidRPr="001F5897">
        <w:rPr>
          <w:rFonts w:eastAsiaTheme="minorHAnsi" w:cstheme="minorBidi"/>
          <w:sz w:val="24"/>
          <w:szCs w:val="24"/>
          <w:lang w:eastAsia="en-US"/>
        </w:rPr>
        <w:t xml:space="preserve"> EUR were postponed. 103</w:t>
      </w:r>
      <w:r w:rsidR="00705AD5" w:rsidRPr="001F5897">
        <w:rPr>
          <w:rFonts w:eastAsiaTheme="minorHAnsi" w:cstheme="minorBidi"/>
          <w:sz w:val="24"/>
          <w:szCs w:val="24"/>
          <w:lang w:eastAsia="en-US"/>
        </w:rPr>
        <w:t xml:space="preserve"> pieces of</w:t>
      </w:r>
      <w:r w:rsidR="0033779C" w:rsidRPr="001F5897">
        <w:rPr>
          <w:rFonts w:eastAsiaTheme="minorHAnsi" w:cstheme="minorBidi"/>
          <w:sz w:val="24"/>
          <w:szCs w:val="24"/>
          <w:lang w:eastAsia="en-US"/>
        </w:rPr>
        <w:t xml:space="preserve"> information from the postponed U</w:t>
      </w:r>
      <w:r w:rsidRPr="001F5897">
        <w:rPr>
          <w:rFonts w:eastAsiaTheme="minorHAnsi" w:cstheme="minorBidi"/>
          <w:sz w:val="24"/>
          <w:szCs w:val="24"/>
          <w:lang w:eastAsia="en-US"/>
        </w:rPr>
        <w:t>TRs were submitted to relevant Law Enforcement A</w:t>
      </w:r>
      <w:r w:rsidR="0033779C" w:rsidRPr="001F5897">
        <w:rPr>
          <w:rFonts w:eastAsiaTheme="minorHAnsi" w:cstheme="minorBidi"/>
          <w:sz w:val="24"/>
          <w:szCs w:val="24"/>
          <w:lang w:eastAsia="en-US"/>
        </w:rPr>
        <w:t xml:space="preserve">uthorities for further utilization pursuant to the provisions of the Code of Criminal Procedure. </w:t>
      </w:r>
    </w:p>
    <w:p w14:paraId="0CE87B52" w14:textId="77777777" w:rsidR="0033779C" w:rsidRPr="001F5897" w:rsidRDefault="0033779C" w:rsidP="00B712B6">
      <w:pPr>
        <w:rPr>
          <w:rFonts w:eastAsiaTheme="minorHAnsi" w:cstheme="minorBidi"/>
          <w:lang w:eastAsia="en-US"/>
        </w:rPr>
      </w:pPr>
    </w:p>
    <w:p w14:paraId="4DCFBA5A" w14:textId="77777777" w:rsidR="00B712B6" w:rsidRPr="001F5897" w:rsidRDefault="009E018C" w:rsidP="00B712B6">
      <w:pPr>
        <w:spacing w:after="120"/>
        <w:rPr>
          <w:rFonts w:eastAsiaTheme="minorHAnsi" w:cstheme="minorBidi"/>
          <w:lang w:eastAsia="en-US"/>
        </w:rPr>
      </w:pPr>
      <w:r w:rsidRPr="001F5897">
        <w:rPr>
          <w:rFonts w:eastAsiaTheme="minorHAnsi" w:cstheme="minorBidi"/>
          <w:lang w:eastAsia="en-US"/>
        </w:rPr>
        <w:t>Chart No.</w:t>
      </w:r>
      <w:r w:rsidR="00B712B6" w:rsidRPr="001F5897">
        <w:rPr>
          <w:rFonts w:eastAsiaTheme="minorHAnsi" w:cstheme="minorBidi"/>
          <w:lang w:eastAsia="en-US"/>
        </w:rPr>
        <w:t xml:space="preserve"> 4: </w:t>
      </w:r>
      <w:r w:rsidRPr="001F5897">
        <w:rPr>
          <w:rFonts w:eastAsiaTheme="minorHAnsi" w:cstheme="minorBidi"/>
          <w:lang w:eastAsia="en-US"/>
        </w:rPr>
        <w:t>Statistical summary of UTRs postponed in 2014</w:t>
      </w:r>
    </w:p>
    <w:tbl>
      <w:tblPr>
        <w:tblStyle w:val="Mriekatabuky3"/>
        <w:tblW w:w="0" w:type="auto"/>
        <w:tblLook w:val="04A0" w:firstRow="1" w:lastRow="0" w:firstColumn="1" w:lastColumn="0" w:noHBand="0" w:noVBand="1"/>
      </w:tblPr>
      <w:tblGrid>
        <w:gridCol w:w="4531"/>
        <w:gridCol w:w="4531"/>
      </w:tblGrid>
      <w:tr w:rsidR="00B712B6" w:rsidRPr="001F5897" w14:paraId="31E79F0D" w14:textId="77777777" w:rsidTr="00D21CC6">
        <w:tc>
          <w:tcPr>
            <w:tcW w:w="4531" w:type="dxa"/>
            <w:shd w:val="clear" w:color="auto" w:fill="FBD4B4" w:themeFill="accent6" w:themeFillTint="66"/>
          </w:tcPr>
          <w:p w14:paraId="352CE610" w14:textId="77777777" w:rsidR="00B712B6" w:rsidRPr="001F5897" w:rsidRDefault="008A70AF" w:rsidP="00D21CC6">
            <w:pPr>
              <w:spacing w:line="276" w:lineRule="auto"/>
              <w:rPr>
                <w:rFonts w:eastAsiaTheme="minorHAnsi" w:cstheme="minorBidi"/>
                <w:sz w:val="24"/>
                <w:szCs w:val="24"/>
                <w:lang w:eastAsia="en-US"/>
              </w:rPr>
            </w:pPr>
            <w:r w:rsidRPr="001F5897">
              <w:rPr>
                <w:rFonts w:eastAsiaTheme="minorHAnsi" w:cstheme="minorBidi"/>
                <w:sz w:val="24"/>
                <w:szCs w:val="24"/>
                <w:lang w:eastAsia="en-US"/>
              </w:rPr>
              <w:t>Total number of postponed UTRs</w:t>
            </w:r>
          </w:p>
        </w:tc>
        <w:tc>
          <w:tcPr>
            <w:tcW w:w="4531" w:type="dxa"/>
            <w:shd w:val="clear" w:color="auto" w:fill="FBD4B4" w:themeFill="accent6" w:themeFillTint="66"/>
            <w:vAlign w:val="center"/>
          </w:tcPr>
          <w:p w14:paraId="1682C5B6" w14:textId="77777777" w:rsidR="00B712B6" w:rsidRPr="001F5897" w:rsidRDefault="00B712B6" w:rsidP="00D21CC6">
            <w:pPr>
              <w:spacing w:line="276" w:lineRule="auto"/>
              <w:jc w:val="center"/>
              <w:rPr>
                <w:rFonts w:eastAsiaTheme="minorHAnsi" w:cstheme="minorBidi"/>
                <w:sz w:val="24"/>
                <w:szCs w:val="24"/>
                <w:lang w:eastAsia="en-US"/>
              </w:rPr>
            </w:pPr>
            <w:r w:rsidRPr="001F5897">
              <w:rPr>
                <w:rFonts w:eastAsiaTheme="minorHAnsi" w:cstheme="minorBidi"/>
                <w:sz w:val="24"/>
                <w:szCs w:val="24"/>
                <w:lang w:eastAsia="en-US"/>
              </w:rPr>
              <w:t>141</w:t>
            </w:r>
          </w:p>
        </w:tc>
      </w:tr>
      <w:tr w:rsidR="00B712B6" w:rsidRPr="001F5897" w14:paraId="13A337ED" w14:textId="77777777" w:rsidTr="00D21CC6">
        <w:tc>
          <w:tcPr>
            <w:tcW w:w="4531" w:type="dxa"/>
            <w:shd w:val="clear" w:color="auto" w:fill="FBD4B4" w:themeFill="accent6" w:themeFillTint="66"/>
          </w:tcPr>
          <w:p w14:paraId="1DCD7796" w14:textId="77777777" w:rsidR="00B712B6" w:rsidRPr="001F5897" w:rsidRDefault="008A70AF" w:rsidP="00D21CC6">
            <w:pPr>
              <w:spacing w:line="276" w:lineRule="auto"/>
              <w:rPr>
                <w:rFonts w:eastAsiaTheme="minorHAnsi" w:cstheme="minorBidi"/>
                <w:sz w:val="24"/>
                <w:szCs w:val="24"/>
                <w:lang w:eastAsia="en-US"/>
              </w:rPr>
            </w:pPr>
            <w:r w:rsidRPr="001F5897">
              <w:rPr>
                <w:rFonts w:eastAsiaTheme="minorHAnsi" w:cstheme="minorBidi"/>
                <w:sz w:val="24"/>
                <w:szCs w:val="24"/>
                <w:lang w:eastAsia="en-US"/>
              </w:rPr>
              <w:t>Postponement of UTRs by obliged entities</w:t>
            </w:r>
          </w:p>
        </w:tc>
        <w:tc>
          <w:tcPr>
            <w:tcW w:w="4531" w:type="dxa"/>
            <w:shd w:val="clear" w:color="auto" w:fill="FBD4B4" w:themeFill="accent6" w:themeFillTint="66"/>
            <w:vAlign w:val="center"/>
          </w:tcPr>
          <w:p w14:paraId="6E71825E" w14:textId="77777777" w:rsidR="00B712B6" w:rsidRPr="001F5897" w:rsidRDefault="00B712B6" w:rsidP="00D21CC6">
            <w:pPr>
              <w:spacing w:line="276" w:lineRule="auto"/>
              <w:jc w:val="center"/>
              <w:rPr>
                <w:rFonts w:eastAsiaTheme="minorHAnsi" w:cstheme="minorBidi"/>
                <w:sz w:val="24"/>
                <w:szCs w:val="24"/>
                <w:lang w:eastAsia="en-US"/>
              </w:rPr>
            </w:pPr>
            <w:r w:rsidRPr="001F5897">
              <w:rPr>
                <w:rFonts w:eastAsiaTheme="minorHAnsi" w:cstheme="minorBidi"/>
                <w:sz w:val="24"/>
                <w:szCs w:val="24"/>
                <w:lang w:eastAsia="en-US"/>
              </w:rPr>
              <w:t>139</w:t>
            </w:r>
          </w:p>
        </w:tc>
      </w:tr>
      <w:tr w:rsidR="00B712B6" w:rsidRPr="001F5897" w14:paraId="7C6A6525" w14:textId="77777777" w:rsidTr="00D21CC6">
        <w:tc>
          <w:tcPr>
            <w:tcW w:w="4531" w:type="dxa"/>
            <w:shd w:val="clear" w:color="auto" w:fill="FBD4B4" w:themeFill="accent6" w:themeFillTint="66"/>
          </w:tcPr>
          <w:p w14:paraId="77A54899" w14:textId="77777777" w:rsidR="00B712B6" w:rsidRPr="001F5897" w:rsidRDefault="008A70AF" w:rsidP="008A70AF">
            <w:pPr>
              <w:spacing w:line="276" w:lineRule="auto"/>
              <w:rPr>
                <w:rFonts w:eastAsiaTheme="minorHAnsi" w:cstheme="minorBidi"/>
                <w:sz w:val="24"/>
                <w:szCs w:val="24"/>
                <w:lang w:eastAsia="en-US"/>
              </w:rPr>
            </w:pPr>
            <w:r w:rsidRPr="001F5897">
              <w:rPr>
                <w:rFonts w:eastAsiaTheme="minorHAnsi" w:cstheme="minorBidi"/>
                <w:sz w:val="24"/>
                <w:szCs w:val="24"/>
                <w:lang w:eastAsia="en-US"/>
              </w:rPr>
              <w:t>Postponement of UTRs on request by FSJ</w:t>
            </w:r>
          </w:p>
        </w:tc>
        <w:tc>
          <w:tcPr>
            <w:tcW w:w="4531" w:type="dxa"/>
            <w:shd w:val="clear" w:color="auto" w:fill="FBD4B4" w:themeFill="accent6" w:themeFillTint="66"/>
            <w:vAlign w:val="center"/>
          </w:tcPr>
          <w:p w14:paraId="1ADF1D0E" w14:textId="77777777" w:rsidR="00B712B6" w:rsidRPr="001F5897" w:rsidRDefault="00B712B6" w:rsidP="00D21CC6">
            <w:pPr>
              <w:spacing w:line="276" w:lineRule="auto"/>
              <w:jc w:val="center"/>
              <w:rPr>
                <w:rFonts w:eastAsiaTheme="minorHAnsi" w:cstheme="minorBidi"/>
                <w:sz w:val="24"/>
                <w:szCs w:val="24"/>
                <w:lang w:eastAsia="en-US"/>
              </w:rPr>
            </w:pPr>
            <w:r w:rsidRPr="001F5897">
              <w:rPr>
                <w:rFonts w:eastAsiaTheme="minorHAnsi" w:cstheme="minorBidi"/>
                <w:sz w:val="24"/>
                <w:szCs w:val="24"/>
                <w:lang w:eastAsia="en-US"/>
              </w:rPr>
              <w:t>2</w:t>
            </w:r>
          </w:p>
        </w:tc>
      </w:tr>
      <w:tr w:rsidR="00B712B6" w:rsidRPr="001F5897" w14:paraId="4AD05154" w14:textId="77777777" w:rsidTr="00D21CC6">
        <w:tc>
          <w:tcPr>
            <w:tcW w:w="4531" w:type="dxa"/>
            <w:shd w:val="clear" w:color="auto" w:fill="FBD4B4" w:themeFill="accent6" w:themeFillTint="66"/>
          </w:tcPr>
          <w:p w14:paraId="18B72C16" w14:textId="77777777" w:rsidR="00B712B6" w:rsidRPr="001F5897" w:rsidRDefault="008A70AF" w:rsidP="00D21CC6">
            <w:pPr>
              <w:spacing w:line="276" w:lineRule="auto"/>
              <w:rPr>
                <w:rFonts w:eastAsiaTheme="minorHAnsi" w:cstheme="minorBidi"/>
                <w:sz w:val="24"/>
                <w:szCs w:val="24"/>
                <w:lang w:eastAsia="en-US"/>
              </w:rPr>
            </w:pPr>
            <w:r w:rsidRPr="001F5897">
              <w:rPr>
                <w:rFonts w:eastAsiaTheme="minorHAnsi" w:cstheme="minorBidi"/>
                <w:sz w:val="24"/>
                <w:szCs w:val="24"/>
                <w:lang w:eastAsia="en-US"/>
              </w:rPr>
              <w:t>Postponed UTRs submitted to the competent local LEA</w:t>
            </w:r>
          </w:p>
        </w:tc>
        <w:tc>
          <w:tcPr>
            <w:tcW w:w="4531" w:type="dxa"/>
            <w:shd w:val="clear" w:color="auto" w:fill="FBD4B4" w:themeFill="accent6" w:themeFillTint="66"/>
            <w:vAlign w:val="center"/>
          </w:tcPr>
          <w:p w14:paraId="46231458" w14:textId="77777777" w:rsidR="00B712B6" w:rsidRPr="001F5897" w:rsidRDefault="00B712B6" w:rsidP="00D21CC6">
            <w:pPr>
              <w:spacing w:line="276" w:lineRule="auto"/>
              <w:jc w:val="center"/>
              <w:rPr>
                <w:rFonts w:eastAsiaTheme="minorHAnsi" w:cstheme="minorBidi"/>
                <w:sz w:val="24"/>
                <w:szCs w:val="24"/>
                <w:lang w:eastAsia="en-US"/>
              </w:rPr>
            </w:pPr>
            <w:r w:rsidRPr="001F5897">
              <w:rPr>
                <w:rFonts w:eastAsiaTheme="minorHAnsi" w:cstheme="minorBidi"/>
                <w:sz w:val="24"/>
                <w:szCs w:val="24"/>
                <w:lang w:eastAsia="en-US"/>
              </w:rPr>
              <w:t>103</w:t>
            </w:r>
          </w:p>
        </w:tc>
      </w:tr>
      <w:tr w:rsidR="00B712B6" w:rsidRPr="001F5897" w14:paraId="79A8322C" w14:textId="77777777" w:rsidTr="00D21CC6">
        <w:tc>
          <w:tcPr>
            <w:tcW w:w="4531" w:type="dxa"/>
            <w:shd w:val="clear" w:color="auto" w:fill="FBD4B4" w:themeFill="accent6" w:themeFillTint="66"/>
          </w:tcPr>
          <w:p w14:paraId="34CCE9CB" w14:textId="77777777" w:rsidR="00B712B6" w:rsidRPr="001F5897" w:rsidRDefault="008A70AF" w:rsidP="008A70AF">
            <w:pPr>
              <w:spacing w:line="276" w:lineRule="auto"/>
              <w:rPr>
                <w:rFonts w:eastAsiaTheme="minorHAnsi" w:cstheme="minorBidi"/>
                <w:sz w:val="24"/>
                <w:szCs w:val="24"/>
                <w:lang w:eastAsia="en-US"/>
              </w:rPr>
            </w:pPr>
            <w:r w:rsidRPr="001F5897">
              <w:rPr>
                <w:rFonts w:eastAsiaTheme="minorHAnsi" w:cstheme="minorBidi"/>
                <w:sz w:val="24"/>
                <w:szCs w:val="24"/>
                <w:lang w:eastAsia="en-US"/>
              </w:rPr>
              <w:t>Total amount of postponed UTRs</w:t>
            </w:r>
            <w:r w:rsidR="00B712B6" w:rsidRPr="001F5897">
              <w:rPr>
                <w:rFonts w:eastAsiaTheme="minorHAnsi" w:cstheme="minorBidi"/>
                <w:sz w:val="24"/>
                <w:szCs w:val="24"/>
                <w:lang w:eastAsia="en-US"/>
              </w:rPr>
              <w:t xml:space="preserve"> </w:t>
            </w:r>
          </w:p>
        </w:tc>
        <w:tc>
          <w:tcPr>
            <w:tcW w:w="4531" w:type="dxa"/>
            <w:shd w:val="clear" w:color="auto" w:fill="FBD4B4" w:themeFill="accent6" w:themeFillTint="66"/>
            <w:vAlign w:val="center"/>
          </w:tcPr>
          <w:p w14:paraId="3431E843" w14:textId="77777777" w:rsidR="00B712B6" w:rsidRPr="001F5897" w:rsidRDefault="00B712B6" w:rsidP="00D21CC6">
            <w:pPr>
              <w:spacing w:line="276" w:lineRule="auto"/>
              <w:jc w:val="center"/>
              <w:rPr>
                <w:rFonts w:eastAsiaTheme="minorHAnsi" w:cstheme="minorBidi"/>
                <w:sz w:val="24"/>
                <w:szCs w:val="24"/>
                <w:lang w:eastAsia="en-US"/>
              </w:rPr>
            </w:pPr>
            <w:r w:rsidRPr="001F5897">
              <w:rPr>
                <w:rFonts w:eastAsiaTheme="minorHAnsi" w:cstheme="minorBidi"/>
                <w:sz w:val="24"/>
                <w:szCs w:val="24"/>
                <w:lang w:eastAsia="en-US"/>
              </w:rPr>
              <w:t>7.017.330,15 EUR</w:t>
            </w:r>
          </w:p>
        </w:tc>
      </w:tr>
    </w:tbl>
    <w:p w14:paraId="4499A809" w14:textId="77777777" w:rsidR="00B712B6" w:rsidRPr="001F5897" w:rsidRDefault="00B712B6" w:rsidP="00B712B6">
      <w:pPr>
        <w:jc w:val="center"/>
        <w:rPr>
          <w:rFonts w:eastAsiaTheme="minorHAnsi" w:cstheme="minorBidi"/>
          <w:b/>
          <w:sz w:val="26"/>
          <w:szCs w:val="26"/>
          <w:lang w:eastAsia="en-US"/>
        </w:rPr>
      </w:pPr>
    </w:p>
    <w:p w14:paraId="55D04A65" w14:textId="77777777" w:rsidR="00B712B6" w:rsidRPr="001F5897" w:rsidRDefault="00B712B6" w:rsidP="00B712B6">
      <w:pPr>
        <w:jc w:val="center"/>
        <w:rPr>
          <w:rFonts w:eastAsiaTheme="minorHAnsi" w:cstheme="minorBidi"/>
          <w:b/>
          <w:sz w:val="26"/>
          <w:szCs w:val="26"/>
          <w:lang w:eastAsia="en-US"/>
        </w:rPr>
      </w:pPr>
    </w:p>
    <w:p w14:paraId="32C2D876" w14:textId="2B96B2F2" w:rsidR="00B712B6" w:rsidRPr="001F5897" w:rsidRDefault="00B712B6" w:rsidP="00B712B6">
      <w:pPr>
        <w:jc w:val="center"/>
        <w:rPr>
          <w:rFonts w:eastAsiaTheme="minorHAnsi" w:cstheme="minorBidi"/>
          <w:b/>
          <w:sz w:val="24"/>
          <w:szCs w:val="24"/>
          <w:lang w:eastAsia="en-US"/>
        </w:rPr>
      </w:pPr>
      <w:r w:rsidRPr="001F5897">
        <w:rPr>
          <w:rFonts w:eastAsiaTheme="minorHAnsi" w:cstheme="minorBidi"/>
          <w:b/>
          <w:sz w:val="24"/>
          <w:szCs w:val="24"/>
          <w:lang w:eastAsia="en-US"/>
        </w:rPr>
        <w:t xml:space="preserve">2.3 </w:t>
      </w:r>
      <w:r w:rsidR="00FE595A" w:rsidRPr="001F5897">
        <w:rPr>
          <w:rFonts w:eastAsiaTheme="minorHAnsi" w:cstheme="minorBidi"/>
          <w:b/>
          <w:sz w:val="24"/>
          <w:szCs w:val="24"/>
          <w:lang w:eastAsia="en-US"/>
        </w:rPr>
        <w:t>Types of recorded UTRs</w:t>
      </w:r>
    </w:p>
    <w:p w14:paraId="77F7038D" w14:textId="77777777" w:rsidR="00B712B6" w:rsidRPr="001F5897" w:rsidRDefault="00B712B6" w:rsidP="00B712B6">
      <w:pPr>
        <w:spacing w:after="120"/>
        <w:rPr>
          <w:rFonts w:eastAsiaTheme="minorHAnsi" w:cstheme="minorBidi"/>
          <w:lang w:eastAsia="en-US"/>
        </w:rPr>
      </w:pPr>
    </w:p>
    <w:p w14:paraId="5A502C83" w14:textId="38836529" w:rsidR="000A4533" w:rsidRPr="001F5897" w:rsidRDefault="000A4533" w:rsidP="00B712B6">
      <w:pPr>
        <w:spacing w:after="120"/>
        <w:rPr>
          <w:rFonts w:eastAsiaTheme="minorHAnsi" w:cstheme="minorBidi"/>
          <w:sz w:val="24"/>
          <w:szCs w:val="24"/>
          <w:lang w:eastAsia="en-US"/>
        </w:rPr>
      </w:pPr>
      <w:r w:rsidRPr="001F5897">
        <w:rPr>
          <w:rFonts w:eastAsiaTheme="minorHAnsi" w:cstheme="minorBidi"/>
          <w:sz w:val="24"/>
          <w:szCs w:val="24"/>
          <w:lang w:eastAsia="en-US"/>
        </w:rPr>
        <w:t xml:space="preserve">     In 2014 the most frequent types of recorded UTRs which were monitored, analysed and evaluated by FSJ </w:t>
      </w:r>
      <w:r w:rsidR="000B34CA" w:rsidRPr="001F5897">
        <w:rPr>
          <w:rFonts w:eastAsiaTheme="minorHAnsi" w:cstheme="minorBidi"/>
          <w:sz w:val="24"/>
          <w:szCs w:val="24"/>
          <w:lang w:eastAsia="en-US"/>
        </w:rPr>
        <w:t>were</w:t>
      </w:r>
      <w:r w:rsidRPr="001F5897">
        <w:rPr>
          <w:rFonts w:eastAsiaTheme="minorHAnsi" w:cstheme="minorBidi"/>
          <w:sz w:val="24"/>
          <w:szCs w:val="24"/>
          <w:lang w:eastAsia="en-US"/>
        </w:rPr>
        <w:t>: wire transfers, cash transactions, cross</w:t>
      </w:r>
      <w:r w:rsidR="00705AD5" w:rsidRPr="001F5897">
        <w:rPr>
          <w:rFonts w:eastAsiaTheme="minorHAnsi" w:cstheme="minorBidi"/>
          <w:sz w:val="24"/>
          <w:szCs w:val="24"/>
          <w:lang w:eastAsia="en-US"/>
        </w:rPr>
        <w:t>-</w:t>
      </w:r>
      <w:r w:rsidRPr="001F5897">
        <w:rPr>
          <w:rFonts w:eastAsiaTheme="minorHAnsi" w:cstheme="minorBidi"/>
          <w:sz w:val="24"/>
          <w:szCs w:val="24"/>
          <w:lang w:eastAsia="en-US"/>
        </w:rPr>
        <w:t>border transfers, transactions realized by entities registered in so called tax heavens (UTRs contained the element „off shore“), phishing, pharming, internet frauds and gambling games.</w:t>
      </w:r>
    </w:p>
    <w:p w14:paraId="72ACF558" w14:textId="77777777" w:rsidR="001253B5" w:rsidRPr="001F5897" w:rsidRDefault="001253B5" w:rsidP="001253B5">
      <w:r w:rsidRPr="001F5897">
        <w:t>Chart No. 5: Statistical summary of types of recorded UTRs in 2014</w:t>
      </w:r>
    </w:p>
    <w:p w14:paraId="704D1838" w14:textId="77777777" w:rsidR="001253B5" w:rsidRPr="001F5897" w:rsidRDefault="001253B5" w:rsidP="001253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651"/>
        <w:gridCol w:w="3021"/>
      </w:tblGrid>
      <w:tr w:rsidR="001253B5" w:rsidRPr="001F5897" w14:paraId="08B06BA3" w14:textId="77777777" w:rsidTr="00D21CC6">
        <w:tc>
          <w:tcPr>
            <w:tcW w:w="4390" w:type="dxa"/>
            <w:shd w:val="clear" w:color="auto" w:fill="FABF8F"/>
            <w:vAlign w:val="center"/>
          </w:tcPr>
          <w:p w14:paraId="58A701B8" w14:textId="77777777" w:rsidR="001253B5" w:rsidRPr="001F5897" w:rsidRDefault="001253B5" w:rsidP="00D21CC6">
            <w:pPr>
              <w:spacing w:after="120"/>
              <w:jc w:val="center"/>
              <w:rPr>
                <w:rFonts w:eastAsia="Calibri"/>
                <w:b/>
                <w:sz w:val="24"/>
                <w:szCs w:val="24"/>
                <w:lang w:eastAsia="en-US"/>
              </w:rPr>
            </w:pPr>
            <w:r w:rsidRPr="001F5897">
              <w:rPr>
                <w:b/>
              </w:rPr>
              <w:t>TYPE OF RECORDED  UTRs</w:t>
            </w:r>
          </w:p>
        </w:tc>
        <w:tc>
          <w:tcPr>
            <w:tcW w:w="1651" w:type="dxa"/>
            <w:shd w:val="clear" w:color="auto" w:fill="FABF8F"/>
            <w:vAlign w:val="center"/>
          </w:tcPr>
          <w:p w14:paraId="19F9E6E8" w14:textId="77777777" w:rsidR="001253B5" w:rsidRPr="001F5897" w:rsidRDefault="001253B5" w:rsidP="00D21CC6">
            <w:pPr>
              <w:spacing w:after="120"/>
              <w:jc w:val="center"/>
              <w:rPr>
                <w:rFonts w:eastAsia="Calibri"/>
                <w:b/>
                <w:sz w:val="24"/>
                <w:szCs w:val="24"/>
                <w:lang w:eastAsia="en-US"/>
              </w:rPr>
            </w:pPr>
            <w:r w:rsidRPr="001F5897">
              <w:rPr>
                <w:b/>
                <w:bCs/>
              </w:rPr>
              <w:t>NUMBER OF UTRs</w:t>
            </w:r>
          </w:p>
        </w:tc>
        <w:tc>
          <w:tcPr>
            <w:tcW w:w="3021" w:type="dxa"/>
            <w:shd w:val="clear" w:color="auto" w:fill="FABF8F"/>
            <w:vAlign w:val="center"/>
          </w:tcPr>
          <w:p w14:paraId="231C1DD0" w14:textId="77777777" w:rsidR="001253B5" w:rsidRPr="001F5897" w:rsidRDefault="001253B5" w:rsidP="00D21CC6">
            <w:pPr>
              <w:spacing w:after="120"/>
              <w:jc w:val="center"/>
              <w:rPr>
                <w:rFonts w:eastAsia="Calibri"/>
                <w:b/>
                <w:sz w:val="24"/>
                <w:szCs w:val="24"/>
                <w:lang w:eastAsia="en-US"/>
              </w:rPr>
            </w:pPr>
            <w:r w:rsidRPr="001F5897">
              <w:rPr>
                <w:b/>
                <w:bCs/>
              </w:rPr>
              <w:t>VALUE OF TRADE ( in EUR)</w:t>
            </w:r>
          </w:p>
        </w:tc>
      </w:tr>
      <w:tr w:rsidR="001253B5" w:rsidRPr="001F5897" w14:paraId="66A08671" w14:textId="77777777" w:rsidTr="00D21CC6">
        <w:tc>
          <w:tcPr>
            <w:tcW w:w="4390" w:type="dxa"/>
            <w:shd w:val="clear" w:color="auto" w:fill="FBD4B4"/>
            <w:vAlign w:val="center"/>
          </w:tcPr>
          <w:p w14:paraId="731E1318" w14:textId="77777777" w:rsidR="001253B5" w:rsidRPr="001F5897" w:rsidRDefault="001253B5" w:rsidP="00D21CC6">
            <w:pPr>
              <w:spacing w:after="120"/>
              <w:jc w:val="center"/>
              <w:rPr>
                <w:rFonts w:eastAsia="Calibri"/>
                <w:sz w:val="24"/>
                <w:szCs w:val="24"/>
                <w:lang w:eastAsia="en-US"/>
              </w:rPr>
            </w:pPr>
            <w:r w:rsidRPr="001F5897">
              <w:rPr>
                <w:sz w:val="24"/>
                <w:szCs w:val="24"/>
              </w:rPr>
              <w:t>Wire transfers</w:t>
            </w:r>
          </w:p>
        </w:tc>
        <w:tc>
          <w:tcPr>
            <w:tcW w:w="1651" w:type="dxa"/>
            <w:shd w:val="clear" w:color="auto" w:fill="FBD4B4"/>
            <w:vAlign w:val="center"/>
          </w:tcPr>
          <w:p w14:paraId="63CF797A"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2386</w:t>
            </w:r>
          </w:p>
        </w:tc>
        <w:tc>
          <w:tcPr>
            <w:tcW w:w="3021" w:type="dxa"/>
            <w:shd w:val="clear" w:color="auto" w:fill="FBD4B4"/>
            <w:vAlign w:val="center"/>
          </w:tcPr>
          <w:p w14:paraId="29741D9B"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2.693.103.696</w:t>
            </w:r>
          </w:p>
        </w:tc>
      </w:tr>
      <w:tr w:rsidR="001253B5" w:rsidRPr="001F5897" w14:paraId="780FFBFD" w14:textId="77777777" w:rsidTr="00D21CC6">
        <w:tc>
          <w:tcPr>
            <w:tcW w:w="4390" w:type="dxa"/>
            <w:shd w:val="clear" w:color="auto" w:fill="FBD4B4"/>
            <w:vAlign w:val="center"/>
          </w:tcPr>
          <w:p w14:paraId="375293AA" w14:textId="77777777" w:rsidR="001253B5" w:rsidRPr="001F5897" w:rsidRDefault="001253B5" w:rsidP="00D21CC6">
            <w:pPr>
              <w:spacing w:after="120"/>
              <w:jc w:val="center"/>
              <w:rPr>
                <w:rFonts w:eastAsia="Calibri"/>
                <w:sz w:val="24"/>
                <w:szCs w:val="24"/>
                <w:lang w:eastAsia="en-US"/>
              </w:rPr>
            </w:pPr>
            <w:r w:rsidRPr="001F5897">
              <w:rPr>
                <w:sz w:val="24"/>
                <w:szCs w:val="24"/>
              </w:rPr>
              <w:t>Cash transactions</w:t>
            </w:r>
          </w:p>
        </w:tc>
        <w:tc>
          <w:tcPr>
            <w:tcW w:w="1651" w:type="dxa"/>
            <w:shd w:val="clear" w:color="auto" w:fill="FBD4B4"/>
            <w:vAlign w:val="center"/>
          </w:tcPr>
          <w:p w14:paraId="75F7A8D6"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2582</w:t>
            </w:r>
          </w:p>
        </w:tc>
        <w:tc>
          <w:tcPr>
            <w:tcW w:w="3021" w:type="dxa"/>
            <w:shd w:val="clear" w:color="auto" w:fill="FBD4B4"/>
            <w:vAlign w:val="center"/>
          </w:tcPr>
          <w:p w14:paraId="39150FE8"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567.887.874</w:t>
            </w:r>
          </w:p>
        </w:tc>
      </w:tr>
      <w:tr w:rsidR="001253B5" w:rsidRPr="001F5897" w14:paraId="6A8883F3" w14:textId="77777777" w:rsidTr="00D21CC6">
        <w:tc>
          <w:tcPr>
            <w:tcW w:w="4390" w:type="dxa"/>
            <w:shd w:val="clear" w:color="auto" w:fill="FBD4B4"/>
            <w:vAlign w:val="center"/>
          </w:tcPr>
          <w:p w14:paraId="18430868" w14:textId="77777777" w:rsidR="001253B5" w:rsidRPr="001F5897" w:rsidRDefault="001253B5" w:rsidP="00D21CC6">
            <w:pPr>
              <w:spacing w:after="120"/>
              <w:jc w:val="center"/>
              <w:rPr>
                <w:rFonts w:eastAsia="Calibri"/>
                <w:sz w:val="24"/>
                <w:szCs w:val="24"/>
                <w:lang w:eastAsia="en-US"/>
              </w:rPr>
            </w:pPr>
            <w:r w:rsidRPr="001F5897">
              <w:rPr>
                <w:sz w:val="24"/>
                <w:szCs w:val="24"/>
              </w:rPr>
              <w:t>Foreign wire transfers</w:t>
            </w:r>
          </w:p>
        </w:tc>
        <w:tc>
          <w:tcPr>
            <w:tcW w:w="1651" w:type="dxa"/>
            <w:shd w:val="clear" w:color="auto" w:fill="FBD4B4"/>
            <w:vAlign w:val="center"/>
          </w:tcPr>
          <w:p w14:paraId="5EA63C0C"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1450</w:t>
            </w:r>
          </w:p>
        </w:tc>
        <w:tc>
          <w:tcPr>
            <w:tcW w:w="3021" w:type="dxa"/>
            <w:shd w:val="clear" w:color="auto" w:fill="FBD4B4"/>
            <w:vAlign w:val="center"/>
          </w:tcPr>
          <w:p w14:paraId="2A5A7007"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2.508.322.478</w:t>
            </w:r>
          </w:p>
        </w:tc>
      </w:tr>
      <w:tr w:rsidR="001253B5" w:rsidRPr="001F5897" w14:paraId="5D098DEE" w14:textId="77777777" w:rsidTr="00D21CC6">
        <w:tc>
          <w:tcPr>
            <w:tcW w:w="4390" w:type="dxa"/>
            <w:shd w:val="clear" w:color="auto" w:fill="FBD4B4"/>
            <w:vAlign w:val="center"/>
          </w:tcPr>
          <w:p w14:paraId="123ADF17" w14:textId="77777777" w:rsidR="001253B5" w:rsidRPr="001F5897" w:rsidRDefault="001253B5" w:rsidP="00D21CC6">
            <w:pPr>
              <w:spacing w:after="120"/>
              <w:jc w:val="center"/>
              <w:rPr>
                <w:rFonts w:eastAsia="Calibri"/>
                <w:sz w:val="24"/>
                <w:szCs w:val="24"/>
                <w:lang w:eastAsia="en-US"/>
              </w:rPr>
            </w:pPr>
            <w:r w:rsidRPr="001F5897">
              <w:rPr>
                <w:sz w:val="24"/>
                <w:szCs w:val="24"/>
              </w:rPr>
              <w:t>Transactions realized by subjects registered in off-shore zone</w:t>
            </w:r>
          </w:p>
        </w:tc>
        <w:tc>
          <w:tcPr>
            <w:tcW w:w="1651" w:type="dxa"/>
            <w:shd w:val="clear" w:color="auto" w:fill="FBD4B4"/>
            <w:vAlign w:val="center"/>
          </w:tcPr>
          <w:p w14:paraId="778D38B7"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157</w:t>
            </w:r>
          </w:p>
        </w:tc>
        <w:tc>
          <w:tcPr>
            <w:tcW w:w="3021" w:type="dxa"/>
            <w:shd w:val="clear" w:color="auto" w:fill="FBD4B4"/>
            <w:vAlign w:val="center"/>
          </w:tcPr>
          <w:p w14:paraId="7FC5A9A1"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196.391.755</w:t>
            </w:r>
          </w:p>
        </w:tc>
      </w:tr>
      <w:tr w:rsidR="001253B5" w:rsidRPr="001F5897" w14:paraId="6CED85FE" w14:textId="77777777" w:rsidTr="00D21CC6">
        <w:tc>
          <w:tcPr>
            <w:tcW w:w="4390" w:type="dxa"/>
            <w:shd w:val="clear" w:color="auto" w:fill="FBD4B4"/>
            <w:vAlign w:val="center"/>
          </w:tcPr>
          <w:p w14:paraId="5296DAD2"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Phishing, Pharming</w:t>
            </w:r>
          </w:p>
        </w:tc>
        <w:tc>
          <w:tcPr>
            <w:tcW w:w="1651" w:type="dxa"/>
            <w:shd w:val="clear" w:color="auto" w:fill="FBD4B4"/>
            <w:vAlign w:val="center"/>
          </w:tcPr>
          <w:p w14:paraId="005591B2"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198</w:t>
            </w:r>
          </w:p>
        </w:tc>
        <w:tc>
          <w:tcPr>
            <w:tcW w:w="3021" w:type="dxa"/>
            <w:shd w:val="clear" w:color="auto" w:fill="FBD4B4"/>
            <w:vAlign w:val="center"/>
          </w:tcPr>
          <w:p w14:paraId="6DC30040"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6.758.251</w:t>
            </w:r>
          </w:p>
        </w:tc>
      </w:tr>
      <w:tr w:rsidR="001253B5" w:rsidRPr="001F5897" w14:paraId="0DDE0C1F" w14:textId="77777777" w:rsidTr="00D21CC6">
        <w:tc>
          <w:tcPr>
            <w:tcW w:w="4390" w:type="dxa"/>
            <w:shd w:val="clear" w:color="auto" w:fill="FBD4B4"/>
            <w:vAlign w:val="center"/>
          </w:tcPr>
          <w:p w14:paraId="6F3A5B54" w14:textId="77777777" w:rsidR="001253B5" w:rsidRPr="001F5897" w:rsidRDefault="001253B5" w:rsidP="00D21CC6">
            <w:pPr>
              <w:spacing w:after="120"/>
              <w:jc w:val="center"/>
              <w:rPr>
                <w:rFonts w:eastAsia="Calibri"/>
                <w:sz w:val="24"/>
                <w:szCs w:val="24"/>
                <w:lang w:eastAsia="en-US"/>
              </w:rPr>
            </w:pPr>
            <w:r w:rsidRPr="001F5897">
              <w:rPr>
                <w:sz w:val="24"/>
                <w:szCs w:val="24"/>
              </w:rPr>
              <w:t>Internet fraud</w:t>
            </w:r>
          </w:p>
        </w:tc>
        <w:tc>
          <w:tcPr>
            <w:tcW w:w="1651" w:type="dxa"/>
            <w:shd w:val="clear" w:color="auto" w:fill="FBD4B4"/>
            <w:vAlign w:val="center"/>
          </w:tcPr>
          <w:p w14:paraId="2CCEA1AC"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63</w:t>
            </w:r>
          </w:p>
        </w:tc>
        <w:tc>
          <w:tcPr>
            <w:tcW w:w="3021" w:type="dxa"/>
            <w:shd w:val="clear" w:color="auto" w:fill="FBD4B4"/>
            <w:vAlign w:val="center"/>
          </w:tcPr>
          <w:p w14:paraId="0E1D1C94"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3.612.626</w:t>
            </w:r>
          </w:p>
        </w:tc>
      </w:tr>
      <w:tr w:rsidR="001253B5" w:rsidRPr="001F5897" w14:paraId="7D4471C7" w14:textId="77777777" w:rsidTr="00D21CC6">
        <w:tc>
          <w:tcPr>
            <w:tcW w:w="4390" w:type="dxa"/>
            <w:shd w:val="clear" w:color="auto" w:fill="FBD4B4"/>
            <w:vAlign w:val="center"/>
          </w:tcPr>
          <w:p w14:paraId="1A83B723"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Hazard</w:t>
            </w:r>
          </w:p>
        </w:tc>
        <w:tc>
          <w:tcPr>
            <w:tcW w:w="1651" w:type="dxa"/>
            <w:shd w:val="clear" w:color="auto" w:fill="FBD4B4"/>
            <w:vAlign w:val="center"/>
          </w:tcPr>
          <w:p w14:paraId="4A158431"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6</w:t>
            </w:r>
          </w:p>
        </w:tc>
        <w:tc>
          <w:tcPr>
            <w:tcW w:w="3021" w:type="dxa"/>
            <w:shd w:val="clear" w:color="auto" w:fill="FBD4B4"/>
            <w:vAlign w:val="center"/>
          </w:tcPr>
          <w:p w14:paraId="367D3AC5" w14:textId="77777777" w:rsidR="001253B5" w:rsidRPr="001F5897" w:rsidRDefault="001253B5" w:rsidP="00D21CC6">
            <w:pPr>
              <w:spacing w:after="120"/>
              <w:jc w:val="center"/>
              <w:rPr>
                <w:rFonts w:eastAsia="Calibri"/>
                <w:sz w:val="24"/>
                <w:szCs w:val="24"/>
                <w:lang w:eastAsia="en-US"/>
              </w:rPr>
            </w:pPr>
            <w:r w:rsidRPr="001F5897">
              <w:rPr>
                <w:rFonts w:eastAsia="Calibri"/>
                <w:sz w:val="24"/>
                <w:szCs w:val="24"/>
                <w:lang w:eastAsia="en-US"/>
              </w:rPr>
              <w:t>1.118.150</w:t>
            </w:r>
          </w:p>
        </w:tc>
      </w:tr>
    </w:tbl>
    <w:p w14:paraId="45CDD3CE" w14:textId="77777777" w:rsidR="001253B5" w:rsidRPr="001F5897" w:rsidRDefault="001253B5" w:rsidP="001253B5"/>
    <w:p w14:paraId="04437110" w14:textId="77777777" w:rsidR="001253B5" w:rsidRPr="001F5897" w:rsidRDefault="001253B5" w:rsidP="001253B5">
      <w:pPr>
        <w:spacing w:after="120"/>
        <w:ind w:firstLine="708"/>
        <w:rPr>
          <w:rFonts w:eastAsia="Calibri"/>
          <w:sz w:val="24"/>
          <w:szCs w:val="24"/>
          <w:lang w:eastAsia="en-US"/>
        </w:rPr>
      </w:pPr>
      <w:r w:rsidRPr="001F5897">
        <w:rPr>
          <w:rFonts w:eastAsia="Calibri"/>
          <w:sz w:val="24"/>
          <w:szCs w:val="24"/>
          <w:lang w:eastAsia="en-US"/>
        </w:rPr>
        <w:t xml:space="preserve">As it can be seen in the chart above, from the point of view of fight against legalization of proceeds of criminal activity and terrorist financing, in which  information were disseminated to Law Enforcement Authorities by FSJ, one of the most frequent UTRs were </w:t>
      </w:r>
      <w:r w:rsidRPr="001F5897">
        <w:rPr>
          <w:sz w:val="24"/>
          <w:szCs w:val="24"/>
        </w:rPr>
        <w:t xml:space="preserve">Internet frauds and their different modifications as </w:t>
      </w:r>
      <w:r w:rsidRPr="001F5897">
        <w:rPr>
          <w:rFonts w:eastAsia="Calibri"/>
          <w:sz w:val="24"/>
          <w:szCs w:val="24"/>
          <w:lang w:eastAsia="en-US"/>
        </w:rPr>
        <w:t>phishing and pharming.</w:t>
      </w:r>
    </w:p>
    <w:p w14:paraId="2A552384" w14:textId="77777777" w:rsidR="001253B5" w:rsidRPr="001F5897" w:rsidRDefault="001253B5" w:rsidP="001253B5">
      <w:pPr>
        <w:spacing w:after="120"/>
        <w:ind w:firstLine="708"/>
        <w:rPr>
          <w:sz w:val="24"/>
          <w:szCs w:val="24"/>
        </w:rPr>
      </w:pPr>
      <w:r w:rsidRPr="001F5897">
        <w:rPr>
          <w:rFonts w:eastAsia="Calibri"/>
          <w:sz w:val="24"/>
          <w:szCs w:val="24"/>
          <w:lang w:eastAsia="en-US"/>
        </w:rPr>
        <w:t xml:space="preserve">In the year 2014 </w:t>
      </w:r>
      <w:r w:rsidRPr="001F5897">
        <w:rPr>
          <w:sz w:val="24"/>
          <w:szCs w:val="24"/>
        </w:rPr>
        <w:t xml:space="preserve">Unusual Transactions’ Department registered a total of </w:t>
      </w:r>
      <w:r w:rsidRPr="001F5897">
        <w:rPr>
          <w:rFonts w:eastAsia="Calibri"/>
          <w:sz w:val="24"/>
          <w:szCs w:val="24"/>
          <w:lang w:eastAsia="en-US"/>
        </w:rPr>
        <w:t xml:space="preserve">198 cases of UTRs </w:t>
      </w:r>
      <w:r w:rsidRPr="001F5897">
        <w:rPr>
          <w:sz w:val="24"/>
          <w:szCs w:val="24"/>
        </w:rPr>
        <w:t xml:space="preserve">related to phishing or pharming. It constitutes an increase by about 108 cases in comparison with the year 2013. Registered 63 cases of </w:t>
      </w:r>
      <w:r w:rsidRPr="001F5897">
        <w:rPr>
          <w:rFonts w:eastAsia="Calibri"/>
          <w:sz w:val="24"/>
          <w:szCs w:val="24"/>
          <w:lang w:eastAsia="en-US"/>
        </w:rPr>
        <w:t xml:space="preserve">UTRs related to </w:t>
      </w:r>
      <w:r w:rsidRPr="001F5897">
        <w:rPr>
          <w:sz w:val="24"/>
          <w:szCs w:val="24"/>
        </w:rPr>
        <w:t xml:space="preserve">Internet frauds stand for an increase by 32 cases in contrast with 2013. Both types of UTRs increased by more than 100 percentile. </w:t>
      </w:r>
    </w:p>
    <w:p w14:paraId="1F405B58" w14:textId="77777777" w:rsidR="001253B5" w:rsidRPr="001F5897" w:rsidRDefault="001253B5" w:rsidP="001253B5">
      <w:pPr>
        <w:spacing w:after="120"/>
        <w:rPr>
          <w:sz w:val="24"/>
          <w:szCs w:val="24"/>
        </w:rPr>
      </w:pPr>
      <w:r w:rsidRPr="001F5897">
        <w:rPr>
          <w:rFonts w:eastAsia="Calibri"/>
          <w:sz w:val="24"/>
          <w:szCs w:val="24"/>
          <w:lang w:eastAsia="en-US"/>
        </w:rPr>
        <w:tab/>
        <w:t>UTRs related to phishing, most frequently contained information about cases, when the personal computer or eventually the mobile phones of the owner of the bank account were intentionally attacked by a virus. It was in the form of a mobile message or in the form of a fraudulent application for the purpose of subsequent unlawful transfer of funds from the bank account, without the consent and approval of the owner of the bank account. For the most part UTRs of Internet frauds were related to</w:t>
      </w:r>
      <w:r w:rsidRPr="001F5897">
        <w:rPr>
          <w:sz w:val="24"/>
          <w:szCs w:val="24"/>
        </w:rPr>
        <w:t xml:space="preserve"> the pretended sale of goods, especially motor-cars, </w:t>
      </w:r>
      <w:r w:rsidRPr="001F5897">
        <w:rPr>
          <w:sz w:val="24"/>
          <w:szCs w:val="24"/>
        </w:rPr>
        <w:lastRenderedPageBreak/>
        <w:t>various industrial equipment, mobile phones, or intermediation of jobs in abroad and etc. In many cases, this pretended sale was bound to the prepayment of a deposit or eventually the full purchase price to an account registered in foreign banks, whereby there was no delivery of goods by the seller. The most frequent were cases, when the client transferred the funds to a Slovak bank account whose holders of the right of disposal were prevailingly Romanian citizens.</w:t>
      </w:r>
    </w:p>
    <w:p w14:paraId="02FCF106" w14:textId="77777777" w:rsidR="001253B5" w:rsidRPr="001F5897" w:rsidRDefault="001253B5" w:rsidP="001253B5">
      <w:pPr>
        <w:spacing w:after="120"/>
        <w:ind w:firstLine="708"/>
        <w:rPr>
          <w:sz w:val="24"/>
          <w:szCs w:val="24"/>
        </w:rPr>
      </w:pPr>
      <w:r w:rsidRPr="001F5897">
        <w:rPr>
          <w:rFonts w:eastAsia="Calibri"/>
          <w:sz w:val="24"/>
          <w:szCs w:val="24"/>
          <w:lang w:eastAsia="en-US"/>
        </w:rPr>
        <w:t xml:space="preserve">In the year 2014, the same as in </w:t>
      </w:r>
      <w:r w:rsidRPr="001F5897">
        <w:rPr>
          <w:sz w:val="24"/>
          <w:szCs w:val="24"/>
        </w:rPr>
        <w:t>the previous year, most UTRs contained information about the use of box and shell companies in the execution of complex commercial transactions. They were used in order to obscure financial operations, movement of goods and services involving front men in so-called carousel frauds, in order to claim VAT tax refunds or eventually for the purpose of tax reduction and tax evasion.</w:t>
      </w:r>
    </w:p>
    <w:p w14:paraId="3CB7338B" w14:textId="77777777" w:rsidR="001253B5" w:rsidRPr="001F5897" w:rsidRDefault="001253B5" w:rsidP="001253B5">
      <w:pPr>
        <w:spacing w:after="120"/>
        <w:ind w:firstLine="708"/>
        <w:rPr>
          <w:sz w:val="24"/>
          <w:szCs w:val="24"/>
        </w:rPr>
      </w:pPr>
      <w:r w:rsidRPr="001F5897">
        <w:rPr>
          <w:sz w:val="24"/>
          <w:szCs w:val="24"/>
        </w:rPr>
        <w:t>In 2014 The Unusual Transactions´ Department registered more UTRs related to the placement of significant volumes of funds by Hungarian citizens, eventually Chinese citizens registered in Hungary to bank accounts belonging to business subjects seated in off-shore-zones, while the bank accounts were registered in banks in the territory of the Slovak Republic or to the bank accounts of Slovak legal entities conducted with the Slovak banks, whereby the statutory bodies - Slovak citizens as well as Chinese and Hungarian citizens were the holders of the right of disposal to these bank accounts. The International element in the structure of the legal entities, i.e. the statutory deputies and the holders of the right of disposal to bank accounts is apparently intentional, in order to restrain any identification and documentation of the origin of these funds and in particular the process of providing necessary information about the scrutinized transactions as these transactions were suspected to be transactions legalizing proceeds from criminal activity.</w:t>
      </w:r>
    </w:p>
    <w:p w14:paraId="5B413676" w14:textId="77777777" w:rsidR="001253B5" w:rsidRPr="001F5897" w:rsidRDefault="001253B5" w:rsidP="001253B5">
      <w:pPr>
        <w:spacing w:after="120"/>
        <w:rPr>
          <w:sz w:val="24"/>
          <w:szCs w:val="24"/>
        </w:rPr>
      </w:pPr>
      <w:r w:rsidRPr="001F5897">
        <w:rPr>
          <w:rFonts w:eastAsia="Calibri"/>
          <w:sz w:val="24"/>
          <w:szCs w:val="24"/>
          <w:lang w:eastAsia="en-US"/>
        </w:rPr>
        <w:tab/>
      </w:r>
      <w:r w:rsidRPr="001F5897">
        <w:rPr>
          <w:sz w:val="24"/>
          <w:szCs w:val="24"/>
        </w:rPr>
        <w:t>In 2014 cases of UTRs related to investments in real estate were recorded, while these investments were paid by funds deposited to bank accounts in cash, the origin of these funds is unknown.</w:t>
      </w:r>
    </w:p>
    <w:p w14:paraId="6FD32AF9" w14:textId="77777777" w:rsidR="001253B5" w:rsidRPr="001F5897" w:rsidRDefault="001253B5" w:rsidP="001253B5">
      <w:pPr>
        <w:spacing w:after="120"/>
        <w:ind w:firstLine="708"/>
        <w:rPr>
          <w:sz w:val="24"/>
          <w:szCs w:val="24"/>
        </w:rPr>
      </w:pPr>
      <w:r w:rsidRPr="001F5897">
        <w:rPr>
          <w:sz w:val="24"/>
          <w:szCs w:val="24"/>
        </w:rPr>
        <w:t xml:space="preserve">In 2014 again there have been cases, in which the payments of large sums (millions of EUR) were fraudulently diverted under the cover of a business relationship within selected targeted groups of people and transferred to a prepared account opened in a country other than the one in which the basic business relationship was conducted (in the recorded cases UTRs the bank accounts that the profits were allocated to had been opened in Slovakia), whereby the payer who was the usually the victim of the fraud was misinformed (generally by email) on the change of the system of payments and of the payment account of his business partner. After the transferred payment to the prepared account the wire transfers were realized immediately and the funds were finally transferred from the Slovak bank accounts to the foreign bank accounts held in banks located in known off-shore-areas such as Hong Kong and China where the lower electivity of legislative measures against legalization of proceeds of criminal activity is a reality. From the reported cases it was found out that the persons, who in such way performed the mentioned transactions, were citizens of Hungary and Romania. As for the aggrieved entities most companies were seated in France. </w:t>
      </w:r>
    </w:p>
    <w:p w14:paraId="1324980F" w14:textId="77777777" w:rsidR="001253B5" w:rsidRPr="001F5897" w:rsidRDefault="001253B5" w:rsidP="001253B5">
      <w:pPr>
        <w:spacing w:after="120"/>
        <w:ind w:firstLine="708"/>
        <w:rPr>
          <w:rFonts w:eastAsia="Calibri"/>
          <w:sz w:val="24"/>
          <w:szCs w:val="24"/>
          <w:lang w:eastAsia="en-US"/>
        </w:rPr>
      </w:pPr>
      <w:r w:rsidRPr="001F5897">
        <w:rPr>
          <w:sz w:val="24"/>
          <w:szCs w:val="24"/>
        </w:rPr>
        <w:t>In 2014 FSJ has recorded also the new cases of business whereby the payments were realized by the virtual digital currency Bitcoin.</w:t>
      </w:r>
    </w:p>
    <w:p w14:paraId="7DEA25D4" w14:textId="7C9F73A7" w:rsidR="001253B5" w:rsidRPr="001F5897" w:rsidRDefault="001253B5" w:rsidP="001253B5">
      <w:pPr>
        <w:spacing w:after="120"/>
        <w:ind w:firstLine="708"/>
        <w:rPr>
          <w:rFonts w:eastAsia="Calibri"/>
          <w:sz w:val="24"/>
          <w:szCs w:val="24"/>
          <w:lang w:eastAsia="en-US"/>
        </w:rPr>
      </w:pPr>
      <w:r w:rsidRPr="001F5897">
        <w:rPr>
          <w:rFonts w:eastAsia="Calibri"/>
          <w:sz w:val="24"/>
          <w:szCs w:val="24"/>
          <w:lang w:eastAsia="en-US"/>
        </w:rPr>
        <w:t xml:space="preserve">Bitcoin as well as the similar virtual currencies represent a type of uncontrolled digital money which means that their usage is not under the control of the National Bank of Slovakia (thereinafter “NBS”) or European Central Bank, because European legislation, including the Slovak law and order is not adjusted to the activities related to virtual currency. The virtual currencies are not considered to be a form of lawful money and their usage is risky to each of participating parties, because the receipt of real money from virtual currency is not </w:t>
      </w:r>
      <w:r w:rsidRPr="001F5897">
        <w:rPr>
          <w:rFonts w:eastAsia="Calibri"/>
          <w:sz w:val="24"/>
          <w:szCs w:val="24"/>
          <w:lang w:eastAsia="en-US"/>
        </w:rPr>
        <w:lastRenderedPageBreak/>
        <w:t xml:space="preserve">guaranteed. Bitcoin functions as a distributing network where transactions are circulated among individual software installed on the user´s computer. Between beneficiary and remitter is not the bank as the standard intermediate, neither any other regulated institution. Actually Bitcoin is usable to purchase goods and services in the territory of the Slovak Republic. It was reported UTRs – the trading with this currency, within the </w:t>
      </w:r>
      <w:r w:rsidR="001F5897">
        <w:rPr>
          <w:rFonts w:eastAsia="Calibri"/>
          <w:sz w:val="24"/>
          <w:szCs w:val="24"/>
          <w:lang w:eastAsia="en-US"/>
        </w:rPr>
        <w:t>B</w:t>
      </w:r>
      <w:r w:rsidRPr="001F5897">
        <w:rPr>
          <w:rFonts w:eastAsia="Calibri"/>
          <w:sz w:val="24"/>
          <w:szCs w:val="24"/>
          <w:lang w:eastAsia="en-US"/>
        </w:rPr>
        <w:t>itcoin internet exchange, where in one case there could be assumed that a fraudulent activity within the financial settlement occurred. Because by available legislative equipment it was not possible to check the business conducting the virtual internet exchange and acquire relevant information for further consideration, this information hasn´t been disseminated to Law Enforcement Authority, but in connection with the foreign entities were disseminated to foreign FIU, or were saved to the complex  information system of FSJ.</w:t>
      </w:r>
    </w:p>
    <w:p w14:paraId="33190364" w14:textId="77777777" w:rsidR="00E222DA" w:rsidRPr="001F5897" w:rsidRDefault="00E222DA" w:rsidP="00E222DA">
      <w:pPr>
        <w:pStyle w:val="Nzovkapitoly"/>
        <w:rPr>
          <w:rFonts w:eastAsia="Calibri"/>
          <w:sz w:val="24"/>
          <w:szCs w:val="24"/>
          <w:lang w:eastAsia="en-US"/>
        </w:rPr>
      </w:pPr>
    </w:p>
    <w:p w14:paraId="71801963" w14:textId="6BB69400" w:rsidR="001253B5" w:rsidRPr="001F5897" w:rsidRDefault="001253B5" w:rsidP="001253B5">
      <w:pPr>
        <w:spacing w:after="120"/>
        <w:jc w:val="center"/>
        <w:rPr>
          <w:b/>
          <w:sz w:val="24"/>
          <w:szCs w:val="24"/>
        </w:rPr>
      </w:pPr>
      <w:r w:rsidRPr="001F5897">
        <w:rPr>
          <w:b/>
          <w:sz w:val="24"/>
          <w:szCs w:val="24"/>
        </w:rPr>
        <w:t xml:space="preserve">2.4 </w:t>
      </w:r>
      <w:r w:rsidR="001F5897" w:rsidRPr="001F5897">
        <w:rPr>
          <w:b/>
          <w:sz w:val="24"/>
          <w:szCs w:val="24"/>
        </w:rPr>
        <w:t>Selected cases of processing of UTRs</w:t>
      </w:r>
    </w:p>
    <w:p w14:paraId="61A3F183" w14:textId="77777777" w:rsidR="00E222DA" w:rsidRPr="001F5897" w:rsidRDefault="00E222DA" w:rsidP="00E222DA">
      <w:pPr>
        <w:pStyle w:val="Nzovkapitoly"/>
      </w:pPr>
    </w:p>
    <w:p w14:paraId="5A5AEC71" w14:textId="77777777" w:rsidR="001253B5" w:rsidRPr="001F5897" w:rsidRDefault="001253B5" w:rsidP="001253B5">
      <w:pPr>
        <w:spacing w:after="120"/>
        <w:ind w:firstLine="708"/>
        <w:rPr>
          <w:sz w:val="24"/>
          <w:szCs w:val="24"/>
        </w:rPr>
      </w:pPr>
      <w:r w:rsidRPr="001F5897">
        <w:rPr>
          <w:sz w:val="24"/>
          <w:szCs w:val="24"/>
        </w:rPr>
        <w:t>In the year 2014 report f</w:t>
      </w:r>
      <w:r w:rsidRPr="001F5897">
        <w:rPr>
          <w:rFonts w:eastAsia="Calibri"/>
          <w:sz w:val="24"/>
          <w:szCs w:val="24"/>
          <w:lang w:eastAsia="en-US"/>
        </w:rPr>
        <w:t xml:space="preserve">rom UTRs received by </w:t>
      </w:r>
      <w:r w:rsidRPr="001F5897">
        <w:rPr>
          <w:sz w:val="24"/>
          <w:szCs w:val="24"/>
        </w:rPr>
        <w:t>Unusual Transactions´ Department presented some interesting cases, which were disseminated to the competent Lea Enforcement Authority to the further proceeding, after verification of the basic information.</w:t>
      </w:r>
    </w:p>
    <w:p w14:paraId="6D2D8018" w14:textId="77777777" w:rsidR="001253B5" w:rsidRPr="001F5897" w:rsidRDefault="001253B5" w:rsidP="001253B5">
      <w:pPr>
        <w:spacing w:after="120"/>
        <w:ind w:firstLine="708"/>
        <w:rPr>
          <w:rFonts w:eastAsia="Calibri"/>
          <w:sz w:val="24"/>
          <w:szCs w:val="24"/>
          <w:lang w:eastAsia="en-US"/>
        </w:rPr>
      </w:pPr>
      <w:r w:rsidRPr="001F5897">
        <w:rPr>
          <w:rFonts w:eastAsia="Calibri"/>
          <w:sz w:val="24"/>
          <w:szCs w:val="24"/>
          <w:lang w:eastAsia="en-US"/>
        </w:rPr>
        <w:t xml:space="preserve"> In  one case the obligated person - the bank A reported an UTR that two payments were credited in the total amount of 900.000,- EUR to a newly opened bank account of a physical person (non-business), from which the total sum was transferred by several payments to </w:t>
      </w:r>
      <w:r w:rsidRPr="001F5897">
        <w:rPr>
          <w:sz w:val="24"/>
          <w:szCs w:val="24"/>
        </w:rPr>
        <w:t xml:space="preserve">the prepared accounts </w:t>
      </w:r>
      <w:r w:rsidRPr="001F5897">
        <w:rPr>
          <w:rFonts w:eastAsia="Calibri"/>
          <w:sz w:val="24"/>
          <w:szCs w:val="24"/>
          <w:lang w:eastAsia="en-US"/>
        </w:rPr>
        <w:t xml:space="preserve">on the same day. The funds, which were credited earlier to the personal bank account, originated from two payments, from the bank account opened in bank B. By the professional activities of employees of </w:t>
      </w:r>
      <w:r w:rsidRPr="001F5897">
        <w:rPr>
          <w:sz w:val="24"/>
          <w:szCs w:val="24"/>
        </w:rPr>
        <w:t xml:space="preserve">Unusual Transactions´ Department within the identification of the origin of transferred funds and after the verification of basic information it was found out that both payments were transferred from the bank B, but the bank B did not  find them unusual. </w:t>
      </w:r>
      <w:r w:rsidRPr="001F5897">
        <w:rPr>
          <w:rFonts w:eastAsia="Calibri"/>
          <w:sz w:val="24"/>
          <w:szCs w:val="24"/>
          <w:lang w:eastAsia="en-US"/>
        </w:rPr>
        <w:t xml:space="preserve">After further investigation in the bank B it was found out, that employee of Bank B withdrew the funds from the bank accounts of two clients of the bank without their consent. After analysing and evaluating credible information, for the reason of suspicion of committed criminal offence, the </w:t>
      </w:r>
      <w:r w:rsidRPr="001F5897">
        <w:rPr>
          <w:sz w:val="24"/>
          <w:szCs w:val="24"/>
        </w:rPr>
        <w:t>Unusual Transactions´ Department transferred the mentioned information to the competent Law Enforcement Authority.</w:t>
      </w:r>
      <w:r w:rsidRPr="001F5897">
        <w:rPr>
          <w:rFonts w:eastAsia="Calibri"/>
          <w:sz w:val="24"/>
          <w:szCs w:val="24"/>
          <w:lang w:eastAsia="en-US"/>
        </w:rPr>
        <w:t xml:space="preserve"> On the basis of this information relevant </w:t>
      </w:r>
      <w:r w:rsidRPr="001F5897">
        <w:rPr>
          <w:sz w:val="24"/>
          <w:szCs w:val="24"/>
        </w:rPr>
        <w:t xml:space="preserve">Law Enforcement Authority began criminal proceeding, pursuant to Section 199 (1) of Code of Criminal Procedure – in case a particularly serious felony of </w:t>
      </w:r>
      <w:r w:rsidRPr="001F5897">
        <w:rPr>
          <w:bCs/>
          <w:sz w:val="24"/>
          <w:szCs w:val="24"/>
        </w:rPr>
        <w:t xml:space="preserve">Breach of trust by maladministration of estates of another </w:t>
      </w:r>
      <w:r w:rsidRPr="001F5897">
        <w:rPr>
          <w:sz w:val="24"/>
          <w:szCs w:val="24"/>
        </w:rPr>
        <w:t xml:space="preserve">pursuant to Section 237 (1) (4) (d) of Code of Criminal Code with the harm done in the amount of </w:t>
      </w:r>
      <w:r w:rsidRPr="001F5897">
        <w:rPr>
          <w:rFonts w:eastAsia="Calibri"/>
          <w:sz w:val="24"/>
          <w:szCs w:val="24"/>
          <w:lang w:eastAsia="en-US"/>
        </w:rPr>
        <w:t>900.000</w:t>
      </w:r>
      <w:proofErr w:type="gramStart"/>
      <w:r w:rsidRPr="001F5897">
        <w:rPr>
          <w:rFonts w:eastAsia="Calibri"/>
          <w:sz w:val="24"/>
          <w:szCs w:val="24"/>
          <w:lang w:eastAsia="en-US"/>
        </w:rPr>
        <w:t>,-</w:t>
      </w:r>
      <w:proofErr w:type="gramEnd"/>
      <w:r w:rsidRPr="001F5897">
        <w:rPr>
          <w:rFonts w:eastAsia="Calibri"/>
          <w:sz w:val="24"/>
          <w:szCs w:val="24"/>
          <w:lang w:eastAsia="en-US"/>
        </w:rPr>
        <w:t xml:space="preserve"> EUR. Shortly after beginning the commencement of prosecution, and after realising custodial acts, during the part of the funds in the amount of 459.455,- EUR were </w:t>
      </w:r>
      <w:r w:rsidRPr="001F5897">
        <w:rPr>
          <w:sz w:val="24"/>
          <w:szCs w:val="24"/>
        </w:rPr>
        <w:t>placed on the Account of Hold and after disposal of necessary evidence  a charge of totally four people who were participated in the criminal activities was brought by the relevant investigator.</w:t>
      </w:r>
      <w:r w:rsidRPr="001F5897">
        <w:rPr>
          <w:rFonts w:eastAsia="Calibri"/>
          <w:sz w:val="24"/>
          <w:szCs w:val="24"/>
          <w:lang w:eastAsia="en-US"/>
        </w:rPr>
        <w:t xml:space="preserve"> These people after their arresting on the base of decision of the relevant court (confirmed also by decision of appeal court) were taken to the investigation custody. Except for </w:t>
      </w:r>
      <w:r w:rsidRPr="001F5897">
        <w:rPr>
          <w:sz w:val="24"/>
          <w:szCs w:val="24"/>
        </w:rPr>
        <w:t xml:space="preserve">the particularly serious felony of </w:t>
      </w:r>
      <w:r w:rsidRPr="001F5897">
        <w:rPr>
          <w:bCs/>
          <w:sz w:val="24"/>
          <w:szCs w:val="24"/>
        </w:rPr>
        <w:t xml:space="preserve">Breach of trust by maladministration of estates of another, three mentioned people were charged also through </w:t>
      </w:r>
      <w:r w:rsidRPr="001F5897">
        <w:rPr>
          <w:sz w:val="24"/>
          <w:szCs w:val="24"/>
        </w:rPr>
        <w:t>the particularly serious felony of Legalisation of the proceeds of criminal activity pursuant to Section 233 (1) (a) (b) (3) (c) (4) (a) of Code of Criminal Code committed by organized group.</w:t>
      </w:r>
    </w:p>
    <w:p w14:paraId="0597F8C8" w14:textId="77777777" w:rsidR="001253B5" w:rsidRPr="001F5897" w:rsidRDefault="001253B5" w:rsidP="001253B5">
      <w:pPr>
        <w:spacing w:after="120"/>
        <w:rPr>
          <w:rFonts w:eastAsia="Calibri"/>
          <w:sz w:val="24"/>
          <w:szCs w:val="24"/>
          <w:lang w:eastAsia="en-US"/>
        </w:rPr>
      </w:pPr>
      <w:r w:rsidRPr="001F5897">
        <w:rPr>
          <w:rFonts w:eastAsia="Calibri"/>
          <w:sz w:val="24"/>
          <w:szCs w:val="24"/>
          <w:lang w:eastAsia="en-US"/>
        </w:rPr>
        <w:tab/>
        <w:t xml:space="preserve">Among other interesting cases of UTRs are those where in conjunction with another coordinated phishing attacks to the bank accounts, which the owners were smaller Slovak villages, the transactions of the funds were going from these bank accounts. Subsequently the funds were transferred from these accounts of villages to several </w:t>
      </w:r>
      <w:r w:rsidRPr="001F5897">
        <w:rPr>
          <w:sz w:val="24"/>
          <w:szCs w:val="24"/>
        </w:rPr>
        <w:t xml:space="preserve">prepared personal bank </w:t>
      </w:r>
      <w:r w:rsidRPr="001F5897">
        <w:rPr>
          <w:sz w:val="24"/>
          <w:szCs w:val="24"/>
        </w:rPr>
        <w:lastRenderedPageBreak/>
        <w:t xml:space="preserve">accounts and from these accounts were withdrawn in cash in the foreign countries by the payment card via A.T.Ms or were transferred immediately to the another prepared foreign bank accounts. </w:t>
      </w:r>
      <w:r w:rsidRPr="001F5897">
        <w:rPr>
          <w:rFonts w:eastAsia="Calibri"/>
          <w:sz w:val="24"/>
          <w:szCs w:val="24"/>
          <w:lang w:eastAsia="en-US"/>
        </w:rPr>
        <w:t>These cases showed common signs, which suggested these cases (phishing) were coordinated probably. The common signs were as follows:</w:t>
      </w:r>
    </w:p>
    <w:p w14:paraId="322FBEE3" w14:textId="77777777" w:rsidR="001253B5" w:rsidRPr="001F5897" w:rsidRDefault="001253B5" w:rsidP="001253B5">
      <w:pPr>
        <w:numPr>
          <w:ilvl w:val="0"/>
          <w:numId w:val="5"/>
        </w:numPr>
        <w:spacing w:after="120"/>
        <w:ind w:left="714" w:hanging="357"/>
        <w:jc w:val="left"/>
        <w:rPr>
          <w:rFonts w:eastAsia="Calibri"/>
          <w:sz w:val="24"/>
          <w:szCs w:val="24"/>
          <w:lang w:eastAsia="en-US"/>
        </w:rPr>
      </w:pPr>
      <w:r w:rsidRPr="001F5897">
        <w:rPr>
          <w:rFonts w:eastAsia="Calibri"/>
          <w:sz w:val="24"/>
          <w:szCs w:val="24"/>
          <w:lang w:eastAsia="en-US"/>
        </w:rPr>
        <w:t>all phishing attacks were directed at the bank accounts of the smaller Slovak villages,</w:t>
      </w:r>
    </w:p>
    <w:p w14:paraId="6CBAE713" w14:textId="77777777" w:rsidR="001253B5" w:rsidRPr="001F5897" w:rsidRDefault="001253B5" w:rsidP="001253B5">
      <w:pPr>
        <w:numPr>
          <w:ilvl w:val="0"/>
          <w:numId w:val="5"/>
        </w:numPr>
        <w:spacing w:after="120"/>
        <w:ind w:left="714" w:hanging="357"/>
        <w:jc w:val="left"/>
        <w:rPr>
          <w:rFonts w:eastAsia="Calibri"/>
          <w:sz w:val="24"/>
          <w:szCs w:val="24"/>
          <w:lang w:eastAsia="en-US"/>
        </w:rPr>
      </w:pPr>
      <w:r w:rsidRPr="001F5897">
        <w:rPr>
          <w:rFonts w:eastAsia="Calibri"/>
          <w:sz w:val="24"/>
          <w:szCs w:val="24"/>
          <w:lang w:eastAsia="en-US"/>
        </w:rPr>
        <w:t>all the attacked bank accounts were conducted by one bank</w:t>
      </w:r>
    </w:p>
    <w:p w14:paraId="593FB139" w14:textId="77777777" w:rsidR="001253B5" w:rsidRPr="001F5897" w:rsidRDefault="001253B5" w:rsidP="001253B5">
      <w:pPr>
        <w:numPr>
          <w:ilvl w:val="0"/>
          <w:numId w:val="5"/>
        </w:numPr>
        <w:spacing w:after="120"/>
        <w:ind w:left="714" w:hanging="357"/>
        <w:jc w:val="left"/>
        <w:rPr>
          <w:rFonts w:eastAsia="Calibri"/>
          <w:sz w:val="24"/>
          <w:szCs w:val="24"/>
          <w:lang w:eastAsia="en-US"/>
        </w:rPr>
      </w:pPr>
      <w:r w:rsidRPr="001F5897">
        <w:rPr>
          <w:rFonts w:eastAsia="Calibri"/>
          <w:sz w:val="24"/>
          <w:szCs w:val="24"/>
          <w:lang w:eastAsia="en-US"/>
        </w:rPr>
        <w:t>all the bank accounts, where the funds originated from criminal activities were transferred after phishing,  were opened in another bank in the Slovak Republic and there were located the funds originated from the criminal activities,</w:t>
      </w:r>
    </w:p>
    <w:p w14:paraId="7B7EB224" w14:textId="77777777" w:rsidR="001253B5" w:rsidRPr="001F5897" w:rsidRDefault="001253B5" w:rsidP="001253B5">
      <w:pPr>
        <w:numPr>
          <w:ilvl w:val="0"/>
          <w:numId w:val="5"/>
        </w:numPr>
        <w:spacing w:after="120"/>
        <w:ind w:left="714" w:hanging="357"/>
        <w:jc w:val="left"/>
        <w:rPr>
          <w:rFonts w:eastAsia="Calibri"/>
          <w:sz w:val="24"/>
          <w:szCs w:val="24"/>
          <w:lang w:eastAsia="en-US"/>
        </w:rPr>
      </w:pPr>
      <w:proofErr w:type="gramStart"/>
      <w:r w:rsidRPr="001F5897">
        <w:rPr>
          <w:rFonts w:eastAsia="Calibri"/>
          <w:sz w:val="24"/>
          <w:szCs w:val="24"/>
          <w:lang w:eastAsia="en-US"/>
        </w:rPr>
        <w:t>the</w:t>
      </w:r>
      <w:proofErr w:type="gramEnd"/>
      <w:r w:rsidRPr="001F5897">
        <w:rPr>
          <w:rFonts w:eastAsia="Calibri"/>
          <w:sz w:val="24"/>
          <w:szCs w:val="24"/>
          <w:lang w:eastAsia="en-US"/>
        </w:rPr>
        <w:t xml:space="preserve"> owners of the bank accounts in all the cases of phishing, where  the funds were located from the criminal activities, were the same people.</w:t>
      </w:r>
    </w:p>
    <w:p w14:paraId="4685187F" w14:textId="77777777" w:rsidR="001253B5" w:rsidRPr="001F5897" w:rsidRDefault="001253B5" w:rsidP="001253B5">
      <w:pPr>
        <w:spacing w:after="120"/>
        <w:ind w:left="714"/>
        <w:jc w:val="left"/>
        <w:rPr>
          <w:rFonts w:eastAsia="Calibri"/>
          <w:sz w:val="24"/>
          <w:szCs w:val="24"/>
          <w:lang w:eastAsia="en-US"/>
        </w:rPr>
      </w:pPr>
    </w:p>
    <w:p w14:paraId="7B099EEB" w14:textId="77777777" w:rsidR="001253B5" w:rsidRPr="001F5897" w:rsidRDefault="001253B5" w:rsidP="001253B5">
      <w:pPr>
        <w:spacing w:after="120"/>
        <w:ind w:firstLine="709"/>
        <w:rPr>
          <w:rFonts w:eastAsia="Calibri"/>
          <w:sz w:val="24"/>
          <w:szCs w:val="24"/>
          <w:lang w:eastAsia="en-US"/>
        </w:rPr>
      </w:pPr>
      <w:r w:rsidRPr="001F5897">
        <w:rPr>
          <w:rFonts w:eastAsia="Calibri"/>
          <w:sz w:val="24"/>
          <w:szCs w:val="24"/>
          <w:lang w:eastAsia="en-US"/>
        </w:rPr>
        <w:t xml:space="preserve">In these mentioned cases two postponements were initiated and realized of an unusual transaction by </w:t>
      </w:r>
      <w:r w:rsidRPr="001F5897">
        <w:rPr>
          <w:sz w:val="24"/>
          <w:szCs w:val="24"/>
        </w:rPr>
        <w:t>Unusual Transactions´ Department, on the basis the relevant Law Enforcement Authority brought a commencement of criminal proceeding, pursuant to Section 199 of Code of Criminal Procedure for fraud pursuant to Section 221of Criminal Code with the loss in the amount of 342.630</w:t>
      </w:r>
      <w:proofErr w:type="gramStart"/>
      <w:r w:rsidRPr="001F5897">
        <w:rPr>
          <w:sz w:val="24"/>
          <w:szCs w:val="24"/>
        </w:rPr>
        <w:t>,-</w:t>
      </w:r>
      <w:proofErr w:type="gramEnd"/>
      <w:r w:rsidRPr="001F5897">
        <w:rPr>
          <w:sz w:val="24"/>
          <w:szCs w:val="24"/>
        </w:rPr>
        <w:t xml:space="preserve"> EUR and Placing the Account on Hold of aggrieved persons in the amount of </w:t>
      </w:r>
      <w:r w:rsidRPr="001F5897">
        <w:rPr>
          <w:rFonts w:eastAsia="Calibri"/>
          <w:sz w:val="24"/>
          <w:szCs w:val="24"/>
          <w:lang w:eastAsia="en-US"/>
        </w:rPr>
        <w:t xml:space="preserve">87.015,- EUR. </w:t>
      </w:r>
    </w:p>
    <w:p w14:paraId="3B2294F5" w14:textId="77777777" w:rsidR="001253B5" w:rsidRPr="001F5897" w:rsidRDefault="001253B5" w:rsidP="00E222DA">
      <w:pPr>
        <w:pStyle w:val="Nzovkapitoly"/>
        <w:rPr>
          <w:rFonts w:eastAsia="Calibri"/>
          <w:sz w:val="24"/>
          <w:szCs w:val="24"/>
          <w:lang w:eastAsia="en-US"/>
        </w:rPr>
      </w:pPr>
    </w:p>
    <w:p w14:paraId="38B950F3" w14:textId="77777777" w:rsidR="001253B5" w:rsidRPr="001F5897" w:rsidRDefault="001253B5" w:rsidP="001253B5">
      <w:pPr>
        <w:pStyle w:val="Normlnywebov"/>
        <w:spacing w:before="0" w:beforeAutospacing="0" w:after="120" w:afterAutospacing="0"/>
        <w:jc w:val="center"/>
        <w:rPr>
          <w:rFonts w:ascii="Times New Roman" w:hAnsi="Times New Roman" w:cs="Times New Roman"/>
          <w:b/>
          <w:bCs/>
          <w:color w:val="000000"/>
          <w:lang w:val="en-GB"/>
        </w:rPr>
      </w:pPr>
      <w:r w:rsidRPr="001F5897">
        <w:rPr>
          <w:rFonts w:ascii="Times New Roman" w:hAnsi="Times New Roman" w:cs="Times New Roman"/>
          <w:b/>
          <w:bCs/>
          <w:color w:val="000000"/>
          <w:lang w:val="en-GB"/>
        </w:rPr>
        <w:t>2.5 The efficiency of UTRs</w:t>
      </w:r>
    </w:p>
    <w:p w14:paraId="0D65A134" w14:textId="77777777" w:rsidR="00E222DA" w:rsidRPr="001F5897" w:rsidRDefault="00E222DA" w:rsidP="00E222DA">
      <w:pPr>
        <w:pStyle w:val="Nzovkapitoly"/>
        <w:rPr>
          <w:sz w:val="24"/>
          <w:szCs w:val="24"/>
        </w:rPr>
      </w:pPr>
    </w:p>
    <w:p w14:paraId="38633ADE" w14:textId="77777777" w:rsidR="001253B5" w:rsidRPr="001F5897" w:rsidRDefault="001253B5" w:rsidP="001253B5">
      <w:pPr>
        <w:pStyle w:val="Normlnywebov"/>
        <w:spacing w:before="0" w:beforeAutospacing="0" w:after="120" w:afterAutospacing="0"/>
        <w:jc w:val="both"/>
        <w:rPr>
          <w:lang w:val="en-GB"/>
        </w:rPr>
      </w:pPr>
      <w:r w:rsidRPr="001F5897">
        <w:rPr>
          <w:rFonts w:ascii="Times New Roman" w:hAnsi="Times New Roman" w:cs="Times New Roman"/>
          <w:color w:val="000000"/>
          <w:lang w:val="en-GB"/>
        </w:rPr>
        <w:t xml:space="preserve">    </w:t>
      </w:r>
      <w:r w:rsidRPr="001F5897">
        <w:rPr>
          <w:rFonts w:ascii="Times New Roman" w:hAnsi="Times New Roman" w:cs="Times New Roman"/>
          <w:color w:val="000000"/>
          <w:lang w:val="en-GB"/>
        </w:rPr>
        <w:tab/>
        <w:t>Pursuant to Section 27 Act on the Prevention of Legalization is imposed to keep summary statistical data to FSJ with determination of minimal frame of obligatory monitoring of statistical indicators.  </w:t>
      </w:r>
    </w:p>
    <w:p w14:paraId="51D62027" w14:textId="77777777" w:rsidR="001253B5" w:rsidRPr="001F5897" w:rsidRDefault="001253B5" w:rsidP="001253B5">
      <w:pPr>
        <w:pStyle w:val="Normlnywebov"/>
        <w:spacing w:before="0" w:beforeAutospacing="0" w:after="120" w:afterAutospacing="0"/>
        <w:ind w:firstLine="708"/>
        <w:jc w:val="both"/>
        <w:rPr>
          <w:lang w:val="en-GB"/>
        </w:rPr>
      </w:pPr>
      <w:r w:rsidRPr="001F5897">
        <w:rPr>
          <w:rFonts w:ascii="Times New Roman" w:hAnsi="Times New Roman" w:cs="Times New Roman"/>
          <w:color w:val="000000"/>
          <w:lang w:val="en-GB"/>
        </w:rPr>
        <w:t>Out of the total number of 3928 the received UTRs in 2014, 1392 pieces of information were filled into the complex information system of FSJ for further utilization. After rigorous analysis of the received UTRs, processing and subsequent evaluation regarding the detection of fact, which are, or eventually can be relevant for certain subjects, FSJ provided:</w:t>
      </w:r>
    </w:p>
    <w:p w14:paraId="1E9C5947" w14:textId="77777777" w:rsidR="001253B5" w:rsidRPr="001F5897" w:rsidRDefault="001253B5" w:rsidP="001253B5">
      <w:pPr>
        <w:spacing w:after="120"/>
      </w:pPr>
    </w:p>
    <w:p w14:paraId="6F19BBDA" w14:textId="77777777" w:rsidR="001253B5" w:rsidRPr="001F5897" w:rsidRDefault="001253B5" w:rsidP="001253B5">
      <w:pPr>
        <w:pStyle w:val="Normlnywebov"/>
        <w:numPr>
          <w:ilvl w:val="0"/>
          <w:numId w:val="6"/>
        </w:numPr>
        <w:spacing w:before="0" w:beforeAutospacing="0" w:after="120" w:afterAutospacing="0"/>
        <w:rPr>
          <w:rFonts w:ascii="Arial" w:hAnsi="Arial" w:cs="Arial"/>
          <w:color w:val="000000"/>
          <w:lang w:val="en-GB"/>
        </w:rPr>
      </w:pPr>
      <w:r w:rsidRPr="001F5897">
        <w:rPr>
          <w:rFonts w:ascii="Times New Roman" w:hAnsi="Times New Roman" w:cs="Times New Roman"/>
          <w:color w:val="000000"/>
          <w:lang w:val="en-GB"/>
        </w:rPr>
        <w:t xml:space="preserve">407 information to competent LEAs, </w:t>
      </w:r>
    </w:p>
    <w:p w14:paraId="494889D7" w14:textId="77777777" w:rsidR="001253B5" w:rsidRPr="001F5897" w:rsidRDefault="001253B5" w:rsidP="001253B5">
      <w:pPr>
        <w:pStyle w:val="Normlnywebov"/>
        <w:numPr>
          <w:ilvl w:val="0"/>
          <w:numId w:val="6"/>
        </w:numPr>
        <w:spacing w:before="0" w:beforeAutospacing="0" w:after="120" w:afterAutospacing="0"/>
        <w:rPr>
          <w:rFonts w:ascii="Arial" w:hAnsi="Arial" w:cs="Arial"/>
          <w:color w:val="000000"/>
          <w:lang w:val="en-GB"/>
        </w:rPr>
      </w:pPr>
      <w:r w:rsidRPr="001F5897">
        <w:rPr>
          <w:rFonts w:ascii="Times New Roman" w:hAnsi="Times New Roman" w:cs="Times New Roman"/>
          <w:color w:val="000000"/>
          <w:lang w:val="en-GB"/>
        </w:rPr>
        <w:t>328 information to competent national units of the National Criminal Agency,</w:t>
      </w:r>
    </w:p>
    <w:p w14:paraId="7EDCC94E" w14:textId="77777777" w:rsidR="001253B5" w:rsidRPr="001F5897" w:rsidRDefault="001253B5" w:rsidP="001253B5">
      <w:pPr>
        <w:pStyle w:val="Normlnywebov"/>
        <w:numPr>
          <w:ilvl w:val="0"/>
          <w:numId w:val="6"/>
        </w:numPr>
        <w:spacing w:before="0" w:beforeAutospacing="0" w:after="120" w:afterAutospacing="0"/>
        <w:rPr>
          <w:rFonts w:ascii="Arial" w:hAnsi="Arial" w:cs="Arial"/>
          <w:color w:val="000000"/>
          <w:lang w:val="en-GB"/>
        </w:rPr>
      </w:pPr>
      <w:r w:rsidRPr="001F5897">
        <w:rPr>
          <w:rFonts w:ascii="Times New Roman" w:hAnsi="Times New Roman" w:cs="Times New Roman"/>
          <w:color w:val="000000"/>
          <w:lang w:val="en-GB"/>
        </w:rPr>
        <w:t>1551 information to Financial Administration of the Slovak Republic,</w:t>
      </w:r>
    </w:p>
    <w:p w14:paraId="7723AB1F" w14:textId="77777777" w:rsidR="001253B5" w:rsidRPr="001F5897" w:rsidRDefault="001253B5" w:rsidP="001253B5">
      <w:pPr>
        <w:pStyle w:val="Normlnywebov"/>
        <w:numPr>
          <w:ilvl w:val="0"/>
          <w:numId w:val="6"/>
        </w:numPr>
        <w:spacing w:before="0" w:beforeAutospacing="0" w:after="120" w:afterAutospacing="0"/>
        <w:rPr>
          <w:rFonts w:ascii="Arial" w:hAnsi="Arial" w:cs="Arial"/>
          <w:color w:val="000000"/>
          <w:lang w:val="en-GB"/>
        </w:rPr>
      </w:pPr>
      <w:r w:rsidRPr="001F5897">
        <w:rPr>
          <w:rFonts w:ascii="Times New Roman" w:hAnsi="Times New Roman" w:cs="Times New Roman"/>
          <w:color w:val="000000"/>
          <w:lang w:val="en-GB"/>
        </w:rPr>
        <w:t>2 information to Obliged Entities´ Control Department</w:t>
      </w:r>
    </w:p>
    <w:p w14:paraId="2E68B2C8" w14:textId="77777777" w:rsidR="001253B5" w:rsidRPr="001F5897" w:rsidRDefault="001253B5" w:rsidP="001253B5">
      <w:pPr>
        <w:pStyle w:val="Normlnywebov"/>
        <w:numPr>
          <w:ilvl w:val="0"/>
          <w:numId w:val="6"/>
        </w:numPr>
        <w:spacing w:before="0" w:beforeAutospacing="0" w:after="120" w:afterAutospacing="0"/>
        <w:rPr>
          <w:rFonts w:ascii="Arial" w:hAnsi="Arial" w:cs="Arial"/>
          <w:color w:val="000000"/>
          <w:lang w:val="en-GB"/>
        </w:rPr>
      </w:pPr>
      <w:r w:rsidRPr="001F5897">
        <w:rPr>
          <w:rFonts w:ascii="Times New Roman" w:hAnsi="Times New Roman" w:cs="Times New Roman"/>
          <w:color w:val="000000"/>
          <w:lang w:val="en-GB"/>
        </w:rPr>
        <w:t>1 information to Property Check-up Department,</w:t>
      </w:r>
    </w:p>
    <w:p w14:paraId="019F7981" w14:textId="77777777" w:rsidR="001253B5" w:rsidRPr="001F5897" w:rsidRDefault="001253B5" w:rsidP="001253B5">
      <w:pPr>
        <w:pStyle w:val="Normlnywebov"/>
        <w:numPr>
          <w:ilvl w:val="0"/>
          <w:numId w:val="6"/>
        </w:numPr>
        <w:spacing w:before="0" w:beforeAutospacing="0" w:after="120" w:afterAutospacing="0"/>
        <w:rPr>
          <w:rFonts w:ascii="Arial" w:hAnsi="Arial" w:cs="Arial"/>
          <w:color w:val="000000"/>
          <w:lang w:val="en-GB"/>
        </w:rPr>
      </w:pPr>
      <w:r w:rsidRPr="001F5897">
        <w:rPr>
          <w:rFonts w:ascii="Times New Roman" w:hAnsi="Times New Roman" w:cs="Times New Roman"/>
          <w:color w:val="000000"/>
          <w:lang w:val="en-GB"/>
        </w:rPr>
        <w:t xml:space="preserve">482 information to relevant foreign FIUs, </w:t>
      </w:r>
    </w:p>
    <w:p w14:paraId="5E04EAFB" w14:textId="77777777" w:rsidR="001253B5" w:rsidRPr="001F5897" w:rsidRDefault="001253B5" w:rsidP="001253B5">
      <w:pPr>
        <w:pStyle w:val="Normlnywebov"/>
        <w:numPr>
          <w:ilvl w:val="0"/>
          <w:numId w:val="6"/>
        </w:numPr>
        <w:spacing w:before="0" w:beforeAutospacing="0" w:after="120" w:afterAutospacing="0"/>
        <w:rPr>
          <w:rFonts w:ascii="Arial" w:hAnsi="Arial" w:cs="Arial"/>
          <w:color w:val="000000"/>
          <w:lang w:val="en-GB"/>
        </w:rPr>
      </w:pPr>
      <w:r w:rsidRPr="001F5897">
        <w:rPr>
          <w:rFonts w:ascii="Times New Roman" w:hAnsi="Times New Roman" w:cs="Times New Roman"/>
          <w:color w:val="000000"/>
          <w:lang w:val="en-GB"/>
        </w:rPr>
        <w:t>79 information to Department for Combating Terrorism of Presidium of Police Force</w:t>
      </w:r>
    </w:p>
    <w:p w14:paraId="7DB783F6" w14:textId="77777777" w:rsidR="001253B5" w:rsidRPr="001F5897" w:rsidRDefault="001253B5" w:rsidP="001253B5">
      <w:pPr>
        <w:pStyle w:val="Normlnywebov"/>
        <w:numPr>
          <w:ilvl w:val="0"/>
          <w:numId w:val="6"/>
        </w:numPr>
        <w:spacing w:before="0" w:beforeAutospacing="0" w:after="120" w:afterAutospacing="0"/>
        <w:rPr>
          <w:rFonts w:ascii="Arial" w:hAnsi="Arial" w:cs="Arial"/>
          <w:color w:val="000000"/>
          <w:lang w:val="en-GB"/>
        </w:rPr>
      </w:pPr>
      <w:r w:rsidRPr="001F5897">
        <w:rPr>
          <w:rFonts w:ascii="Times New Roman" w:hAnsi="Times New Roman" w:cs="Times New Roman"/>
          <w:color w:val="000000"/>
          <w:lang w:val="en-GB"/>
        </w:rPr>
        <w:t>488 information to Regional and District Headquarters of Police Force.</w:t>
      </w:r>
    </w:p>
    <w:p w14:paraId="044E6570" w14:textId="77777777" w:rsidR="001253B5" w:rsidRPr="001F5897" w:rsidRDefault="001253B5" w:rsidP="001253B5">
      <w:pPr>
        <w:spacing w:after="120"/>
        <w:rPr>
          <w:rFonts w:ascii="Arial Unicode MS" w:hAnsi="Arial Unicode MS" w:cs="Arial Unicode MS"/>
        </w:rPr>
      </w:pPr>
    </w:p>
    <w:p w14:paraId="4E9630E9" w14:textId="77777777" w:rsidR="001253B5" w:rsidRPr="001F5897" w:rsidRDefault="001253B5" w:rsidP="001253B5">
      <w:pPr>
        <w:pStyle w:val="Normlnywebov"/>
        <w:spacing w:before="0" w:beforeAutospacing="0" w:after="120" w:afterAutospacing="0"/>
        <w:jc w:val="both"/>
        <w:rPr>
          <w:lang w:val="en-GB"/>
        </w:rPr>
      </w:pPr>
      <w:r w:rsidRPr="001F5897">
        <w:rPr>
          <w:rFonts w:ascii="Times New Roman" w:hAnsi="Times New Roman" w:cs="Times New Roman"/>
          <w:color w:val="000000"/>
          <w:lang w:val="en-GB"/>
        </w:rPr>
        <w:t xml:space="preserve">    </w:t>
      </w:r>
      <w:r w:rsidRPr="001F5897">
        <w:rPr>
          <w:rFonts w:ascii="Times New Roman" w:hAnsi="Times New Roman" w:cs="Times New Roman"/>
          <w:color w:val="000000"/>
          <w:lang w:val="en-GB"/>
        </w:rPr>
        <w:tab/>
        <w:t xml:space="preserve">According to Law on the Prevention of legalization, FSJ informs obliged person about the efficiency of UTR and individual actions, which were established after receiving of this </w:t>
      </w:r>
      <w:r w:rsidRPr="001F5897">
        <w:rPr>
          <w:rFonts w:ascii="Times New Roman" w:hAnsi="Times New Roman" w:cs="Times New Roman"/>
          <w:color w:val="000000"/>
          <w:lang w:val="en-GB"/>
        </w:rPr>
        <w:lastRenderedPageBreak/>
        <w:t>UTR. For this purpose, FSJ requires information („feedback“) from Law Enforcement Authorities regarding the results of verification of sending information and others actions, which were realized in a certain case. Chart no. 6 provides a comprehensive overview of the procedures and decision-making activities of Law Enforcement Authorities as well as of information submitted within the purview of the Criminal Procedure Code on the basis sending decision or the information of Law Enforcement Authorities.</w:t>
      </w:r>
    </w:p>
    <w:p w14:paraId="72DF2F76" w14:textId="77777777" w:rsidR="001253B5" w:rsidRPr="001F5897" w:rsidRDefault="001253B5" w:rsidP="001253B5"/>
    <w:p w14:paraId="772CB361" w14:textId="77777777" w:rsidR="001253B5" w:rsidRPr="001F5897" w:rsidRDefault="001253B5" w:rsidP="001253B5">
      <w:pPr>
        <w:pStyle w:val="Normlnywebov"/>
        <w:spacing w:before="0" w:beforeAutospacing="0" w:after="0" w:afterAutospacing="0"/>
        <w:ind w:left="208"/>
        <w:jc w:val="both"/>
        <w:rPr>
          <w:lang w:val="en-GB"/>
        </w:rPr>
      </w:pPr>
      <w:r w:rsidRPr="001F5897">
        <w:rPr>
          <w:rFonts w:ascii="Times New Roman" w:hAnsi="Times New Roman" w:cs="Times New Roman"/>
          <w:color w:val="000000"/>
          <w:sz w:val="20"/>
          <w:szCs w:val="20"/>
          <w:lang w:val="en-GB"/>
        </w:rPr>
        <w:t>Chart No. 6: Further steps of LEAs after the information was submitted pursuant to Section 26 (2) (b) of AML/CTF Act in 2014</w:t>
      </w:r>
    </w:p>
    <w:p w14:paraId="08EA97A3" w14:textId="77777777" w:rsidR="001253B5" w:rsidRPr="001F5897" w:rsidRDefault="001253B5" w:rsidP="001253B5"/>
    <w:tbl>
      <w:tblPr>
        <w:tblW w:w="0" w:type="auto"/>
        <w:tblInd w:w="-115" w:type="dxa"/>
        <w:tblCellMar>
          <w:top w:w="15" w:type="dxa"/>
          <w:left w:w="15" w:type="dxa"/>
          <w:bottom w:w="15" w:type="dxa"/>
          <w:right w:w="15" w:type="dxa"/>
        </w:tblCellMar>
        <w:tblLook w:val="0000" w:firstRow="0" w:lastRow="0" w:firstColumn="0" w:lastColumn="0" w:noHBand="0" w:noVBand="0"/>
      </w:tblPr>
      <w:tblGrid>
        <w:gridCol w:w="7744"/>
        <w:gridCol w:w="1683"/>
      </w:tblGrid>
      <w:tr w:rsidR="001253B5" w:rsidRPr="001F5897" w14:paraId="47A1D32A" w14:textId="77777777" w:rsidTr="00D21CC6">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FAC090"/>
            <w:tcMar>
              <w:top w:w="0" w:type="dxa"/>
              <w:left w:w="120" w:type="dxa"/>
              <w:bottom w:w="0" w:type="dxa"/>
              <w:right w:w="120" w:type="dxa"/>
            </w:tcMar>
            <w:vAlign w:val="center"/>
          </w:tcPr>
          <w:p w14:paraId="2AC80462" w14:textId="77777777" w:rsidR="001253B5" w:rsidRPr="001F5897" w:rsidRDefault="001253B5" w:rsidP="00D21CC6">
            <w:pPr>
              <w:pStyle w:val="Normlnywebov"/>
              <w:spacing w:before="0" w:beforeAutospacing="0" w:after="0" w:afterAutospacing="0"/>
              <w:jc w:val="both"/>
              <w:rPr>
                <w:lang w:val="en-GB"/>
              </w:rPr>
            </w:pPr>
            <w:r w:rsidRPr="001F5897">
              <w:rPr>
                <w:rFonts w:ascii="Times New Roman" w:hAnsi="Times New Roman" w:cs="Times New Roman"/>
                <w:b/>
                <w:bCs/>
                <w:color w:val="000000"/>
                <w:sz w:val="20"/>
                <w:szCs w:val="20"/>
                <w:lang w:val="en-GB"/>
              </w:rPr>
              <w:t>Procedures / further steps of LEAs after obtained information from FSJ</w:t>
            </w:r>
          </w:p>
        </w:tc>
        <w:tc>
          <w:tcPr>
            <w:tcW w:w="0" w:type="auto"/>
            <w:tcBorders>
              <w:top w:val="single" w:sz="6" w:space="0" w:color="000000"/>
              <w:left w:val="single" w:sz="6" w:space="0" w:color="000000"/>
              <w:bottom w:val="single" w:sz="6" w:space="0" w:color="000000"/>
              <w:right w:val="single" w:sz="6" w:space="0" w:color="000000"/>
            </w:tcBorders>
            <w:shd w:val="clear" w:color="auto" w:fill="FAC090"/>
            <w:tcMar>
              <w:top w:w="0" w:type="dxa"/>
              <w:left w:w="120" w:type="dxa"/>
              <w:bottom w:w="0" w:type="dxa"/>
              <w:right w:w="120" w:type="dxa"/>
            </w:tcMar>
            <w:vAlign w:val="center"/>
          </w:tcPr>
          <w:p w14:paraId="565CF7F8"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b/>
                <w:bCs/>
                <w:color w:val="000000"/>
                <w:sz w:val="20"/>
                <w:szCs w:val="20"/>
                <w:lang w:val="en-GB"/>
              </w:rPr>
              <w:t>NUMBER OF THE CASES</w:t>
            </w:r>
          </w:p>
        </w:tc>
      </w:tr>
      <w:tr w:rsidR="001253B5" w:rsidRPr="001F5897" w14:paraId="26FA4504" w14:textId="77777777" w:rsidTr="00D21CC6">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262EC594" w14:textId="77777777" w:rsidR="001253B5" w:rsidRPr="001F5897" w:rsidRDefault="001253B5" w:rsidP="00D21CC6">
            <w:pPr>
              <w:pStyle w:val="Normlnywebov"/>
              <w:spacing w:before="0" w:beforeAutospacing="0" w:after="0" w:afterAutospacing="0"/>
              <w:jc w:val="both"/>
              <w:rPr>
                <w:lang w:val="en-GB"/>
              </w:rPr>
            </w:pPr>
            <w:r w:rsidRPr="001F5897">
              <w:rPr>
                <w:rFonts w:ascii="Times New Roman" w:hAnsi="Times New Roman" w:cs="Times New Roman"/>
                <w:color w:val="000000"/>
                <w:lang w:val="en-GB"/>
              </w:rPr>
              <w:t xml:space="preserve">Commencement of criminal proceeding, Section 199 of Code of Criminal Procedure – in all the cases </w:t>
            </w:r>
          </w:p>
        </w:tc>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6B5E9801"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66</w:t>
            </w:r>
          </w:p>
        </w:tc>
      </w:tr>
      <w:tr w:rsidR="001253B5" w:rsidRPr="001F5897" w14:paraId="0BCE874B" w14:textId="77777777" w:rsidTr="00D21CC6">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6A367E72" w14:textId="77777777" w:rsidR="001253B5" w:rsidRPr="001F5897" w:rsidRDefault="001253B5" w:rsidP="00D21CC6">
            <w:pPr>
              <w:pStyle w:val="Normlnywebov"/>
              <w:spacing w:before="0" w:beforeAutospacing="0" w:after="0" w:afterAutospacing="0"/>
              <w:jc w:val="both"/>
              <w:rPr>
                <w:lang w:val="en-GB"/>
              </w:rPr>
            </w:pPr>
            <w:r w:rsidRPr="001F5897">
              <w:rPr>
                <w:rFonts w:ascii="Times New Roman" w:hAnsi="Times New Roman" w:cs="Times New Roman"/>
                <w:color w:val="000000"/>
                <w:lang w:val="en-GB"/>
              </w:rPr>
              <w:t>Commencement of criminal proceeding Section 199 of Code of Criminal Procedure - for Legalization of the Proceeds of Crime pursuant to Section 233, Section 234 of Criminal Code</w:t>
            </w:r>
          </w:p>
        </w:tc>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479DCD01"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44</w:t>
            </w:r>
          </w:p>
        </w:tc>
      </w:tr>
      <w:tr w:rsidR="001253B5" w:rsidRPr="001F5897" w14:paraId="21CD1FBD" w14:textId="77777777" w:rsidTr="00D21CC6">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0D28F941" w14:textId="77777777" w:rsidR="001253B5" w:rsidRPr="001F5897" w:rsidRDefault="001253B5" w:rsidP="00D21CC6">
            <w:pPr>
              <w:pStyle w:val="Normlnywebov"/>
              <w:spacing w:before="0" w:beforeAutospacing="0" w:after="0" w:afterAutospacing="0"/>
              <w:jc w:val="both"/>
              <w:rPr>
                <w:lang w:val="en-GB"/>
              </w:rPr>
            </w:pPr>
            <w:r w:rsidRPr="001F5897">
              <w:rPr>
                <w:rFonts w:ascii="Times New Roman" w:hAnsi="Times New Roman" w:cs="Times New Roman"/>
                <w:color w:val="000000"/>
                <w:lang w:val="en-GB"/>
              </w:rPr>
              <w:t>Commencement of criminal proceeding Section 199 of Code of Criminal Procedure -for different crime</w:t>
            </w:r>
          </w:p>
        </w:tc>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77EEDE25"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35</w:t>
            </w:r>
          </w:p>
        </w:tc>
      </w:tr>
      <w:tr w:rsidR="001253B5" w:rsidRPr="001F5897" w14:paraId="60B83B5C" w14:textId="77777777" w:rsidTr="00D21CC6">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55475785" w14:textId="77777777" w:rsidR="001253B5" w:rsidRPr="001F5897" w:rsidRDefault="001253B5" w:rsidP="00D21CC6">
            <w:pPr>
              <w:pStyle w:val="Normlnywebov"/>
              <w:spacing w:before="0" w:beforeAutospacing="0" w:after="0" w:afterAutospacing="0"/>
              <w:jc w:val="both"/>
              <w:rPr>
                <w:lang w:val="en-GB"/>
              </w:rPr>
            </w:pPr>
            <w:r w:rsidRPr="001F5897">
              <w:rPr>
                <w:rFonts w:ascii="Times New Roman" w:hAnsi="Times New Roman" w:cs="Times New Roman"/>
                <w:color w:val="000000"/>
                <w:lang w:val="en-GB"/>
              </w:rPr>
              <w:t>Indictments pursuant to Section 206 of Code of Criminal Procedure - in all the cases</w:t>
            </w:r>
          </w:p>
        </w:tc>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2CF57C8F"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1</w:t>
            </w:r>
          </w:p>
        </w:tc>
      </w:tr>
      <w:tr w:rsidR="001253B5" w:rsidRPr="001F5897" w14:paraId="0F8C8C72" w14:textId="77777777" w:rsidTr="00D21CC6">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16CA2838" w14:textId="77777777" w:rsidR="001253B5" w:rsidRPr="001F5897" w:rsidRDefault="001253B5" w:rsidP="00D21CC6">
            <w:pPr>
              <w:pStyle w:val="Normlnywebov"/>
              <w:spacing w:before="0" w:beforeAutospacing="0" w:after="0" w:afterAutospacing="0"/>
              <w:jc w:val="both"/>
              <w:rPr>
                <w:lang w:val="en-GB"/>
              </w:rPr>
            </w:pPr>
            <w:r w:rsidRPr="001F5897">
              <w:rPr>
                <w:rFonts w:ascii="Times New Roman" w:hAnsi="Times New Roman" w:cs="Times New Roman"/>
                <w:color w:val="000000"/>
                <w:lang w:val="en-GB"/>
              </w:rPr>
              <w:t>Indictments pursuant to Section 206 of Code of Criminal Procedure for Legalization of the Proceeds of Crime pursuant to Section 233, Section 234 of Criminal Code</w:t>
            </w:r>
          </w:p>
        </w:tc>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6475A01E"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1</w:t>
            </w:r>
          </w:p>
        </w:tc>
      </w:tr>
      <w:tr w:rsidR="001253B5" w:rsidRPr="001F5897" w14:paraId="256CA49F" w14:textId="77777777" w:rsidTr="00D21CC6">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1DF4BA52" w14:textId="77777777" w:rsidR="001253B5" w:rsidRPr="001F5897" w:rsidRDefault="001253B5" w:rsidP="00D21CC6">
            <w:pPr>
              <w:pStyle w:val="Normlnywebov"/>
              <w:spacing w:before="0" w:beforeAutospacing="0" w:after="0" w:afterAutospacing="0"/>
              <w:jc w:val="both"/>
              <w:rPr>
                <w:lang w:val="en-GB"/>
              </w:rPr>
            </w:pPr>
            <w:r w:rsidRPr="001F5897">
              <w:rPr>
                <w:rFonts w:ascii="Times New Roman" w:hAnsi="Times New Roman" w:cs="Times New Roman"/>
                <w:color w:val="000000"/>
                <w:lang w:val="en-GB"/>
              </w:rPr>
              <w:t>Indictments pursuant to Section 206 of Code of Criminal Procedure for the others criminal offences</w:t>
            </w:r>
          </w:p>
        </w:tc>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509CAB83"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1</w:t>
            </w:r>
          </w:p>
        </w:tc>
      </w:tr>
      <w:tr w:rsidR="001253B5" w:rsidRPr="001F5897" w14:paraId="1B26CB54" w14:textId="77777777" w:rsidTr="00D21CC6">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tcPr>
          <w:p w14:paraId="53F42E0B" w14:textId="77777777" w:rsidR="001253B5" w:rsidRPr="001F5897" w:rsidRDefault="001253B5" w:rsidP="00D21CC6">
            <w:pPr>
              <w:pStyle w:val="Normlnywebov"/>
              <w:spacing w:before="0" w:beforeAutospacing="0" w:after="0" w:afterAutospacing="0"/>
              <w:jc w:val="both"/>
              <w:rPr>
                <w:lang w:val="en-GB"/>
              </w:rPr>
            </w:pPr>
            <w:r w:rsidRPr="001F5897">
              <w:rPr>
                <w:rFonts w:ascii="Times New Roman" w:hAnsi="Times New Roman" w:cs="Times New Roman"/>
                <w:color w:val="000000"/>
                <w:lang w:val="en-GB"/>
              </w:rPr>
              <w:t>Dismiss of commencement of criminal proceeding pursuant to Section 197 (1) (d) of Code of Criminal Procedure</w:t>
            </w:r>
          </w:p>
        </w:tc>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5997445F"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16</w:t>
            </w:r>
          </w:p>
        </w:tc>
      </w:tr>
      <w:tr w:rsidR="001253B5" w:rsidRPr="001F5897" w14:paraId="571391FE" w14:textId="77777777" w:rsidTr="00D21CC6">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3A530EB0" w14:textId="77777777" w:rsidR="001253B5" w:rsidRPr="001F5897" w:rsidRDefault="001253B5" w:rsidP="00D21CC6">
            <w:pPr>
              <w:pStyle w:val="Normlnywebov"/>
              <w:spacing w:before="0" w:beforeAutospacing="0" w:after="0" w:afterAutospacing="0"/>
              <w:jc w:val="both"/>
              <w:rPr>
                <w:lang w:val="en-GB"/>
              </w:rPr>
            </w:pPr>
            <w:r w:rsidRPr="001F5897">
              <w:rPr>
                <w:rFonts w:ascii="Times New Roman" w:hAnsi="Times New Roman" w:cs="Times New Roman"/>
                <w:color w:val="000000"/>
                <w:lang w:val="en-GB"/>
              </w:rPr>
              <w:t>Seizure of the funds pursuant to Section 95 of Code of Criminal Procedure</w:t>
            </w:r>
          </w:p>
        </w:tc>
        <w:tc>
          <w:tcPr>
            <w:tcW w:w="0" w:type="auto"/>
            <w:tcBorders>
              <w:top w:val="single" w:sz="6" w:space="0" w:color="000000"/>
              <w:left w:val="single" w:sz="6" w:space="0" w:color="000000"/>
              <w:bottom w:val="single" w:sz="6" w:space="0" w:color="000000"/>
              <w:right w:val="single" w:sz="6" w:space="0" w:color="000000"/>
            </w:tcBorders>
            <w:shd w:val="clear" w:color="auto" w:fill="FBD5B5"/>
            <w:tcMar>
              <w:top w:w="0" w:type="dxa"/>
              <w:left w:w="120" w:type="dxa"/>
              <w:bottom w:w="0" w:type="dxa"/>
              <w:right w:w="120" w:type="dxa"/>
            </w:tcMar>
            <w:vAlign w:val="center"/>
          </w:tcPr>
          <w:p w14:paraId="1F67401E"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50</w:t>
            </w:r>
          </w:p>
        </w:tc>
      </w:tr>
    </w:tbl>
    <w:p w14:paraId="24D4A7F9" w14:textId="77777777" w:rsidR="001253B5" w:rsidRPr="001F5897" w:rsidRDefault="001253B5" w:rsidP="001253B5"/>
    <w:p w14:paraId="0D3CC81D" w14:textId="77777777" w:rsidR="001253B5" w:rsidRPr="001F5897" w:rsidRDefault="001253B5" w:rsidP="001253B5"/>
    <w:p w14:paraId="6FD5AD0A" w14:textId="77777777" w:rsidR="001253B5" w:rsidRPr="001F5897" w:rsidRDefault="001253B5" w:rsidP="001253B5">
      <w:pPr>
        <w:pStyle w:val="Normlnywebov"/>
        <w:spacing w:before="0" w:beforeAutospacing="0" w:after="120" w:afterAutospacing="0"/>
        <w:ind w:firstLine="709"/>
        <w:jc w:val="both"/>
        <w:rPr>
          <w:lang w:val="en-GB"/>
        </w:rPr>
      </w:pPr>
      <w:r w:rsidRPr="001F5897">
        <w:rPr>
          <w:rFonts w:ascii="Times New Roman" w:hAnsi="Times New Roman" w:cs="Times New Roman"/>
          <w:color w:val="000000"/>
          <w:lang w:val="en-GB"/>
        </w:rPr>
        <w:t xml:space="preserve">For the purpose of removing the deficiency constituted in the absence of a coherent and unified statistical output for all the public authorities related to the number of cases of legalization of proceeds of criminal activity and terrorist financing committed by the identified, subsequently criminally prosecuted, indicted and convicted persons, the FSJ processed the statistics into a coherent output (see the chart No. 8) provided by services of Police Force, Criminal Authority of the Financial Administration of the Slovak Republic, the Criminal Department and International Cooperation  of  General Prosecutor's Office of the </w:t>
      </w:r>
      <w:r w:rsidRPr="001F5897">
        <w:rPr>
          <w:rFonts w:ascii="Times New Roman" w:hAnsi="Times New Roman" w:cs="Times New Roman"/>
          <w:color w:val="000000"/>
          <w:lang w:val="en-GB"/>
        </w:rPr>
        <w:lastRenderedPageBreak/>
        <w:t xml:space="preserve">Slovak Republic and by the Ministry of Justice of the Slovak Republic. This data is related to the criminal offence of Legalization of proceeds of criminal activity pursuant to Sections 233 and 234 of Criminal Code, by which are requested the information about numbers of filled a complaints, commencement of criminal proceeding, indictment, whether about the manner of ending criminal prosecution, or about the number of persons criminally prosecuted, charged and then finally sentenced for these criminal offences in the year 2014. </w:t>
      </w:r>
    </w:p>
    <w:p w14:paraId="735C54C9" w14:textId="77777777" w:rsidR="001253B5" w:rsidRPr="001F5897" w:rsidRDefault="001253B5" w:rsidP="001253B5">
      <w:pPr>
        <w:pStyle w:val="Normlnywebov"/>
        <w:spacing w:before="0" w:beforeAutospacing="0" w:after="120" w:afterAutospacing="0"/>
        <w:ind w:firstLine="708"/>
        <w:jc w:val="both"/>
        <w:rPr>
          <w:lang w:val="en-GB"/>
        </w:rPr>
      </w:pPr>
      <w:r w:rsidRPr="001F5897">
        <w:rPr>
          <w:rFonts w:ascii="Times New Roman" w:hAnsi="Times New Roman" w:cs="Times New Roman"/>
          <w:color w:val="000000"/>
          <w:lang w:val="en-GB"/>
        </w:rPr>
        <w:t>From the basic documents provided by the above mentioned subjects it is clear that in 2014 there haven’t been registered any cases of filled a complaint to criminal prosecution, when the commencement of criminal proceeding brought a charge with Terrorism, brought the indictment or resulted in a conviction for the criminal offence of Terrorism and some forms of participation on terrorism pursuant to Section 419 of Criminal Code. In the mentioned year there hasn´t been any indictment either.</w:t>
      </w:r>
    </w:p>
    <w:p w14:paraId="382DA279" w14:textId="77777777" w:rsidR="001253B5" w:rsidRPr="001F5897" w:rsidRDefault="001253B5" w:rsidP="001253B5">
      <w:pPr>
        <w:pStyle w:val="Normlnywebov"/>
        <w:spacing w:before="0" w:beforeAutospacing="0" w:after="120" w:afterAutospacing="0"/>
        <w:ind w:firstLine="708"/>
        <w:jc w:val="both"/>
        <w:rPr>
          <w:rFonts w:ascii="Times New Roman" w:hAnsi="Times New Roman" w:cs="Times New Roman"/>
          <w:color w:val="000000"/>
          <w:lang w:val="en-GB"/>
        </w:rPr>
      </w:pPr>
      <w:r w:rsidRPr="001F5897">
        <w:rPr>
          <w:rFonts w:ascii="Times New Roman" w:hAnsi="Times New Roman" w:cs="Times New Roman"/>
          <w:color w:val="000000"/>
          <w:lang w:val="en-GB"/>
        </w:rPr>
        <w:t>From the monitored data it may be seen that nearly equal numbers of the cases with the previous year 2013, when the indictment was brought (a growing number about one case) for the criminal offence of Legalization of proceeds of criminal activity or eventually was approved plea bargaining (grow downward about one case). As from statistics data resulted to criminal offences of Legalization of proceeds of criminal activity provided by the Ministry of Justice of the Slovak Republic, in the year 2014 was in the cases published legal judgment concerning to totally 23 persons, which from 15 persons were sentenced and 8 persons were set free on the basis of a sentence.</w:t>
      </w:r>
    </w:p>
    <w:p w14:paraId="49BED4BF" w14:textId="77777777" w:rsidR="001253B5" w:rsidRPr="001F5897" w:rsidRDefault="001253B5" w:rsidP="001253B5">
      <w:pPr>
        <w:pStyle w:val="Normlnywebov"/>
        <w:spacing w:before="0" w:beforeAutospacing="0" w:after="120" w:afterAutospacing="0"/>
        <w:ind w:firstLine="708"/>
        <w:jc w:val="both"/>
        <w:rPr>
          <w:lang w:val="en-GB"/>
        </w:rPr>
      </w:pPr>
      <w:r w:rsidRPr="001F5897">
        <w:rPr>
          <w:rFonts w:ascii="Times New Roman" w:hAnsi="Times New Roman" w:cs="Times New Roman"/>
          <w:color w:val="000000"/>
          <w:lang w:val="en-GB"/>
        </w:rPr>
        <w:t>A statistical summary was elaborated in the chart No. 7 which serves as an overview of the scope of application of selected securing institutes of the Code of Criminal Procedure in criminal proceedings in 2014 about all the criminal offences and separately for the criminal offences of legalization of proceeds of criminal activity. From the mentioned chart it can also be observed that the ratio of securing institutes of the Code of Criminal Procedure used while uncovering the realization of criminal offences of legalization of proceeds of criminal activity in the overall application of these institutes used within the criminal proceedings is only minimal.</w:t>
      </w:r>
    </w:p>
    <w:p w14:paraId="38F48698" w14:textId="77777777" w:rsidR="001253B5" w:rsidRPr="001F5897" w:rsidRDefault="001253B5" w:rsidP="001253B5"/>
    <w:p w14:paraId="17DC3B94" w14:textId="77777777" w:rsidR="001253B5" w:rsidRPr="001F5897" w:rsidRDefault="001253B5" w:rsidP="001253B5">
      <w:pPr>
        <w:pStyle w:val="Normlnywebov"/>
        <w:spacing w:before="0" w:beforeAutospacing="0" w:after="0" w:afterAutospacing="0"/>
        <w:jc w:val="both"/>
        <w:rPr>
          <w:lang w:val="en-GB"/>
        </w:rPr>
      </w:pPr>
      <w:r w:rsidRPr="001F5897">
        <w:rPr>
          <w:rFonts w:ascii="Times New Roman" w:hAnsi="Times New Roman" w:cs="Times New Roman"/>
          <w:color w:val="000000"/>
          <w:sz w:val="20"/>
          <w:szCs w:val="20"/>
          <w:lang w:val="en-GB"/>
        </w:rPr>
        <w:t xml:space="preserve">Chart No. 7: Comparison of statistical data on selected regulations of Code of Criminal Procedure in criminal proceedings in the year 2014 between all criminal offences and criminal offences commenced for Legalization of the Proceeds of Crime under Section 233 and 234 of Criminal Code. </w:t>
      </w:r>
    </w:p>
    <w:p w14:paraId="76E665BE" w14:textId="77777777" w:rsidR="001253B5" w:rsidRPr="001F5897" w:rsidRDefault="001253B5" w:rsidP="001253B5"/>
    <w:tbl>
      <w:tblPr>
        <w:tblW w:w="0" w:type="auto"/>
        <w:tblInd w:w="-115" w:type="dxa"/>
        <w:tblCellMar>
          <w:top w:w="15" w:type="dxa"/>
          <w:left w:w="15" w:type="dxa"/>
          <w:bottom w:w="15" w:type="dxa"/>
          <w:right w:w="15" w:type="dxa"/>
        </w:tblCellMar>
        <w:tblLook w:val="0000" w:firstRow="0" w:lastRow="0" w:firstColumn="0" w:lastColumn="0" w:noHBand="0" w:noVBand="0"/>
      </w:tblPr>
      <w:tblGrid>
        <w:gridCol w:w="361"/>
        <w:gridCol w:w="2818"/>
        <w:gridCol w:w="1198"/>
        <w:gridCol w:w="1589"/>
        <w:gridCol w:w="1585"/>
        <w:gridCol w:w="1876"/>
      </w:tblGrid>
      <w:tr w:rsidR="001253B5" w:rsidRPr="001F5897" w14:paraId="76303C17" w14:textId="77777777" w:rsidTr="00D21CC6">
        <w:trPr>
          <w:cantSplit/>
          <w:trHeight w:val="1140"/>
        </w:trPr>
        <w:tc>
          <w:tcPr>
            <w:tcW w:w="0" w:type="auto"/>
            <w:vMerge w:val="restart"/>
            <w:tcBorders>
              <w:top w:val="single" w:sz="2" w:space="0" w:color="000000"/>
              <w:left w:val="single" w:sz="2" w:space="0" w:color="000000"/>
              <w:bottom w:val="single" w:sz="2" w:space="0" w:color="000000"/>
              <w:right w:val="single" w:sz="6" w:space="0" w:color="000000"/>
            </w:tcBorders>
            <w:shd w:val="clear" w:color="auto" w:fill="FFFFFF"/>
            <w:tcMar>
              <w:top w:w="0" w:type="dxa"/>
              <w:left w:w="120" w:type="dxa"/>
              <w:bottom w:w="0" w:type="dxa"/>
              <w:right w:w="120" w:type="dxa"/>
            </w:tcMar>
          </w:tcPr>
          <w:p w14:paraId="7FDA2713" w14:textId="77777777" w:rsidR="001253B5" w:rsidRPr="001F5897" w:rsidRDefault="001253B5" w:rsidP="00D21CC6">
            <w:pPr>
              <w:rPr>
                <w:rFonts w:ascii="Arial Unicode MS" w:eastAsia="Arial Unicode MS" w:hAnsi="Arial Unicode MS" w:cs="Arial Unicode MS"/>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7DDE8"/>
            <w:tcMar>
              <w:top w:w="0" w:type="dxa"/>
              <w:left w:w="120" w:type="dxa"/>
              <w:bottom w:w="0" w:type="dxa"/>
              <w:right w:w="120" w:type="dxa"/>
            </w:tcMar>
            <w:vAlign w:val="center"/>
          </w:tcPr>
          <w:p w14:paraId="6F1A0A3F"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b/>
                <w:bCs/>
                <w:color w:val="000000"/>
                <w:lang w:val="en-GB"/>
              </w:rPr>
              <w:t xml:space="preserve">Regulations </w:t>
            </w:r>
          </w:p>
          <w:p w14:paraId="550806F3"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b/>
                <w:bCs/>
                <w:color w:val="000000"/>
                <w:lang w:val="en-GB"/>
              </w:rPr>
              <w:t>of Code of Criminal Procedure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B7DDE8"/>
            <w:tcMar>
              <w:top w:w="0" w:type="dxa"/>
              <w:left w:w="120" w:type="dxa"/>
              <w:bottom w:w="0" w:type="dxa"/>
              <w:right w:w="120" w:type="dxa"/>
            </w:tcMar>
            <w:vAlign w:val="center"/>
          </w:tcPr>
          <w:p w14:paraId="2FFF800E"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b/>
                <w:bCs/>
                <w:color w:val="000000"/>
                <w:lang w:val="en-GB"/>
              </w:rPr>
              <w:t>All criminal offences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B7DDE8"/>
            <w:tcMar>
              <w:top w:w="0" w:type="dxa"/>
              <w:left w:w="120" w:type="dxa"/>
              <w:bottom w:w="0" w:type="dxa"/>
              <w:right w:w="120" w:type="dxa"/>
            </w:tcMar>
            <w:vAlign w:val="center"/>
          </w:tcPr>
          <w:p w14:paraId="77E06283"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b/>
                <w:bCs/>
                <w:color w:val="000000"/>
                <w:lang w:val="en-GB"/>
              </w:rPr>
              <w:t>Criminal offences of Legalization of the Proceeds of Crime under Section 233 and 234 of Criminal Code</w:t>
            </w:r>
          </w:p>
        </w:tc>
      </w:tr>
      <w:tr w:rsidR="00E222DA" w:rsidRPr="001F5897" w14:paraId="469270D0" w14:textId="77777777" w:rsidTr="00D21CC6">
        <w:trPr>
          <w:cantSplit/>
          <w:trHeight w:val="615"/>
        </w:trPr>
        <w:tc>
          <w:tcPr>
            <w:tcW w:w="0" w:type="auto"/>
            <w:vMerge/>
            <w:tcBorders>
              <w:top w:val="single" w:sz="2" w:space="0" w:color="000000"/>
              <w:left w:val="single" w:sz="2" w:space="0" w:color="000000"/>
              <w:bottom w:val="single" w:sz="2" w:space="0" w:color="000000"/>
              <w:right w:val="single" w:sz="6" w:space="0" w:color="000000"/>
            </w:tcBorders>
            <w:vAlign w:val="center"/>
          </w:tcPr>
          <w:p w14:paraId="337E2BFA" w14:textId="77777777" w:rsidR="001253B5" w:rsidRPr="001F5897" w:rsidRDefault="001253B5" w:rsidP="00D21CC6">
            <w:pPr>
              <w:rPr>
                <w:rFonts w:ascii="Arial Unicode MS" w:eastAsia="Arial Unicode MS" w:hAnsi="Arial Unicode MS" w:cs="Arial Unicode M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A69E5C6" w14:textId="77777777" w:rsidR="001253B5" w:rsidRPr="001F5897" w:rsidRDefault="001253B5" w:rsidP="00D21CC6">
            <w:pPr>
              <w:rPr>
                <w:rFonts w:ascii="Arial Unicode MS" w:eastAsia="Arial Unicode MS" w:hAnsi="Arial Unicode MS" w:cs="Arial Unicode MS"/>
              </w:rPr>
            </w:pPr>
          </w:p>
        </w:tc>
        <w:tc>
          <w:tcPr>
            <w:tcW w:w="0" w:type="auto"/>
            <w:tcBorders>
              <w:top w:val="single" w:sz="6" w:space="0" w:color="000000"/>
              <w:left w:val="single" w:sz="6" w:space="0" w:color="000000"/>
              <w:bottom w:val="single" w:sz="6" w:space="0" w:color="000000"/>
              <w:right w:val="single" w:sz="6" w:space="0" w:color="000000"/>
            </w:tcBorders>
            <w:shd w:val="clear" w:color="auto" w:fill="B7DDE8"/>
            <w:tcMar>
              <w:top w:w="0" w:type="dxa"/>
              <w:left w:w="120" w:type="dxa"/>
              <w:bottom w:w="0" w:type="dxa"/>
              <w:right w:w="120" w:type="dxa"/>
            </w:tcMar>
          </w:tcPr>
          <w:p w14:paraId="1BA08924"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b/>
                <w:bCs/>
                <w:color w:val="000000"/>
                <w:lang w:val="en-GB"/>
              </w:rPr>
              <w:t>Number of cases</w:t>
            </w:r>
          </w:p>
        </w:tc>
        <w:tc>
          <w:tcPr>
            <w:tcW w:w="0" w:type="auto"/>
            <w:tcBorders>
              <w:top w:val="single" w:sz="6" w:space="0" w:color="000000"/>
              <w:left w:val="single" w:sz="6" w:space="0" w:color="000000"/>
              <w:bottom w:val="single" w:sz="6" w:space="0" w:color="000000"/>
              <w:right w:val="single" w:sz="6" w:space="0" w:color="000000"/>
            </w:tcBorders>
            <w:shd w:val="clear" w:color="auto" w:fill="B7DDE8"/>
            <w:tcMar>
              <w:top w:w="0" w:type="dxa"/>
              <w:left w:w="120" w:type="dxa"/>
              <w:bottom w:w="0" w:type="dxa"/>
              <w:right w:w="120" w:type="dxa"/>
            </w:tcMar>
          </w:tcPr>
          <w:p w14:paraId="78B9E3FF"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b/>
                <w:bCs/>
                <w:color w:val="000000"/>
                <w:lang w:val="en-GB"/>
              </w:rPr>
              <w:t>Total value in EUR</w:t>
            </w:r>
          </w:p>
        </w:tc>
        <w:tc>
          <w:tcPr>
            <w:tcW w:w="0" w:type="auto"/>
            <w:tcBorders>
              <w:top w:val="single" w:sz="6" w:space="0" w:color="000000"/>
              <w:left w:val="single" w:sz="6" w:space="0" w:color="000000"/>
              <w:bottom w:val="single" w:sz="6" w:space="0" w:color="000000"/>
              <w:right w:val="single" w:sz="6" w:space="0" w:color="000000"/>
            </w:tcBorders>
            <w:shd w:val="clear" w:color="auto" w:fill="B7DDE8"/>
            <w:tcMar>
              <w:top w:w="0" w:type="dxa"/>
              <w:left w:w="120" w:type="dxa"/>
              <w:bottom w:w="0" w:type="dxa"/>
              <w:right w:w="120" w:type="dxa"/>
            </w:tcMar>
          </w:tcPr>
          <w:p w14:paraId="0E6C9724"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b/>
                <w:bCs/>
                <w:color w:val="000000"/>
                <w:lang w:val="en-GB"/>
              </w:rPr>
              <w:t>Number of cases</w:t>
            </w:r>
          </w:p>
        </w:tc>
        <w:tc>
          <w:tcPr>
            <w:tcW w:w="0" w:type="auto"/>
            <w:tcBorders>
              <w:top w:val="single" w:sz="6" w:space="0" w:color="000000"/>
              <w:left w:val="single" w:sz="6" w:space="0" w:color="000000"/>
              <w:bottom w:val="single" w:sz="6" w:space="0" w:color="000000"/>
              <w:right w:val="single" w:sz="6" w:space="0" w:color="000000"/>
            </w:tcBorders>
            <w:shd w:val="clear" w:color="auto" w:fill="B7DDE8"/>
            <w:tcMar>
              <w:top w:w="0" w:type="dxa"/>
              <w:left w:w="120" w:type="dxa"/>
              <w:bottom w:w="0" w:type="dxa"/>
              <w:right w:w="120" w:type="dxa"/>
            </w:tcMar>
          </w:tcPr>
          <w:p w14:paraId="76EEE9F6"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b/>
                <w:bCs/>
                <w:color w:val="000000"/>
                <w:lang w:val="en-GB"/>
              </w:rPr>
              <w:t>Total value in EUR</w:t>
            </w:r>
          </w:p>
        </w:tc>
      </w:tr>
      <w:tr w:rsidR="00E222DA" w:rsidRPr="001F5897" w14:paraId="07BCDA9C" w14:textId="77777777" w:rsidTr="00D21CC6">
        <w:trPr>
          <w:trHeight w:val="1515"/>
        </w:trPr>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7AFEAB5C"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tcPr>
          <w:p w14:paraId="1700D36C" w14:textId="77777777" w:rsidR="001253B5" w:rsidRPr="001F5897" w:rsidRDefault="001253B5" w:rsidP="00D21CC6">
            <w:pPr>
              <w:pStyle w:val="Normlnywebov"/>
              <w:spacing w:before="0" w:beforeAutospacing="0" w:after="0" w:afterAutospacing="0"/>
              <w:rPr>
                <w:lang w:val="en-GB"/>
              </w:rPr>
            </w:pPr>
            <w:r w:rsidRPr="001F5897">
              <w:rPr>
                <w:rFonts w:ascii="Times New Roman" w:hAnsi="Times New Roman" w:cs="Times New Roman"/>
                <w:color w:val="000000"/>
                <w:lang w:val="en-GB"/>
              </w:rPr>
              <w:t>Section 89 - Duty to Surrender a Thing, Section 91 - Withdrawal of a Thing, Section 92 - Taking over of a Seized Thing</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15BB9866"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9960</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58D24371"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8.506.901</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15721D58"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31</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55DC83E5"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756.080</w:t>
            </w:r>
          </w:p>
        </w:tc>
      </w:tr>
      <w:tr w:rsidR="00E222DA" w:rsidRPr="001F5897" w14:paraId="2C95B04E" w14:textId="77777777" w:rsidTr="00D21CC6">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731B5428"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2</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tcPr>
          <w:p w14:paraId="7A78794A" w14:textId="77777777" w:rsidR="001253B5" w:rsidRPr="001F5897" w:rsidRDefault="001253B5" w:rsidP="00D21CC6">
            <w:pPr>
              <w:pStyle w:val="Normlnywebov"/>
              <w:spacing w:before="0" w:beforeAutospacing="0" w:after="0" w:afterAutospacing="0"/>
              <w:rPr>
                <w:lang w:val="en-GB"/>
              </w:rPr>
            </w:pPr>
            <w:r w:rsidRPr="001F5897">
              <w:rPr>
                <w:rFonts w:ascii="Times New Roman" w:hAnsi="Times New Roman" w:cs="Times New Roman"/>
                <w:color w:val="000000"/>
                <w:lang w:val="en-GB"/>
              </w:rPr>
              <w:t>Section 95 - Placing the Account on Hold</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7AD20856"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198</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6696C034"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4.2015.073</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4058798F"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22</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1D3C47A8"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3.012.736</w:t>
            </w:r>
          </w:p>
        </w:tc>
      </w:tr>
      <w:tr w:rsidR="00E222DA" w:rsidRPr="001F5897" w14:paraId="090F9827" w14:textId="77777777" w:rsidTr="00D21CC6">
        <w:trPr>
          <w:trHeight w:val="900"/>
        </w:trPr>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059963A0"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tcPr>
          <w:p w14:paraId="688FA8F2" w14:textId="77777777" w:rsidR="001253B5" w:rsidRPr="001F5897" w:rsidRDefault="001253B5" w:rsidP="00D21CC6">
            <w:pPr>
              <w:pStyle w:val="Normlnywebov"/>
              <w:spacing w:before="0" w:beforeAutospacing="0" w:after="0" w:afterAutospacing="0"/>
              <w:rPr>
                <w:lang w:val="en-GB"/>
              </w:rPr>
            </w:pPr>
            <w:r w:rsidRPr="001F5897">
              <w:rPr>
                <w:rFonts w:ascii="Times New Roman" w:hAnsi="Times New Roman" w:cs="Times New Roman"/>
                <w:color w:val="000000"/>
                <w:lang w:val="en-GB"/>
              </w:rPr>
              <w:t>Section 96 - Suspension of the Right to Dispose of Registered Securities</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6A51321D"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1</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47FC7972"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X</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3BCBEE5E"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0</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198471D4"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0</w:t>
            </w:r>
          </w:p>
        </w:tc>
      </w:tr>
      <w:tr w:rsidR="00E222DA" w:rsidRPr="001F5897" w14:paraId="51AA1477" w14:textId="77777777" w:rsidTr="00D21CC6">
        <w:trPr>
          <w:trHeight w:val="465"/>
        </w:trPr>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364CC43E"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4</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3A116194" w14:textId="77777777" w:rsidR="001253B5" w:rsidRPr="001F5897" w:rsidRDefault="001253B5" w:rsidP="00D21CC6">
            <w:pPr>
              <w:pStyle w:val="Normlnywebov"/>
              <w:spacing w:before="0" w:beforeAutospacing="0" w:after="0" w:afterAutospacing="0"/>
              <w:rPr>
                <w:lang w:val="en-GB"/>
              </w:rPr>
            </w:pPr>
            <w:r w:rsidRPr="001F5897">
              <w:rPr>
                <w:rFonts w:ascii="Times New Roman" w:hAnsi="Times New Roman" w:cs="Times New Roman"/>
                <w:color w:val="000000"/>
                <w:lang w:val="en-GB"/>
              </w:rPr>
              <w:t xml:space="preserve">Section 97 – </w:t>
            </w:r>
            <w:proofErr w:type="spellStart"/>
            <w:r w:rsidRPr="001F5897">
              <w:rPr>
                <w:rFonts w:ascii="Times New Roman" w:hAnsi="Times New Roman" w:cs="Times New Roman"/>
                <w:color w:val="000000"/>
                <w:lang w:val="en-GB"/>
              </w:rPr>
              <w:t>Restituting</w:t>
            </w:r>
            <w:proofErr w:type="spellEnd"/>
            <w:r w:rsidRPr="001F5897">
              <w:rPr>
                <w:rFonts w:ascii="Times New Roman" w:hAnsi="Times New Roman" w:cs="Times New Roman"/>
                <w:color w:val="000000"/>
                <w:lang w:val="en-GB"/>
              </w:rPr>
              <w:t xml:space="preserve"> the Thing</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47D9498D"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5119</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75E77771"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4.412.251</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4BDE265B"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73</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24725816"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311.644</w:t>
            </w:r>
          </w:p>
        </w:tc>
      </w:tr>
      <w:tr w:rsidR="00E222DA" w:rsidRPr="001F5897" w14:paraId="6CF1EB7D" w14:textId="77777777" w:rsidTr="00D21CC6">
        <w:trPr>
          <w:trHeight w:val="900"/>
        </w:trPr>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04DFF638"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5</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tcPr>
          <w:p w14:paraId="1EF585C8" w14:textId="77777777" w:rsidR="001253B5" w:rsidRPr="001F5897" w:rsidRDefault="001253B5" w:rsidP="00D21CC6">
            <w:pPr>
              <w:pStyle w:val="Normlnywebov"/>
              <w:spacing w:before="0" w:beforeAutospacing="0" w:after="0" w:afterAutospacing="0"/>
              <w:rPr>
                <w:lang w:val="en-GB"/>
              </w:rPr>
            </w:pPr>
            <w:r w:rsidRPr="001F5897">
              <w:rPr>
                <w:rFonts w:ascii="Times New Roman" w:hAnsi="Times New Roman" w:cs="Times New Roman"/>
                <w:color w:val="000000"/>
                <w:lang w:val="en-GB"/>
              </w:rPr>
              <w:t xml:space="preserve">Section 550 - Surrender of Things (International </w:t>
            </w:r>
            <w:proofErr w:type="spellStart"/>
            <w:r w:rsidRPr="001F5897">
              <w:rPr>
                <w:rFonts w:ascii="Times New Roman" w:hAnsi="Times New Roman" w:cs="Times New Roman"/>
                <w:color w:val="000000"/>
                <w:lang w:val="en-GB"/>
              </w:rPr>
              <w:t>Rogatory</w:t>
            </w:r>
            <w:proofErr w:type="spellEnd"/>
            <w:r w:rsidRPr="001F5897">
              <w:rPr>
                <w:rFonts w:ascii="Times New Roman" w:hAnsi="Times New Roman" w:cs="Times New Roman"/>
                <w:color w:val="000000"/>
                <w:lang w:val="en-GB"/>
              </w:rPr>
              <w:t xml:space="preserve"> Letter)</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4C1A0F6A"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92</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1ECE3378"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1.999.831,31</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679953E4"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9</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00342EBE"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67.424.226</w:t>
            </w:r>
          </w:p>
        </w:tc>
      </w:tr>
      <w:tr w:rsidR="00E222DA" w:rsidRPr="001F5897" w14:paraId="2AB87EB7" w14:textId="77777777" w:rsidTr="00D21CC6">
        <w:trPr>
          <w:trHeight w:val="900"/>
        </w:trPr>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17E40AA8"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6</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tcPr>
          <w:p w14:paraId="227994A4" w14:textId="77777777" w:rsidR="001253B5" w:rsidRPr="001F5897" w:rsidRDefault="001253B5" w:rsidP="00D21CC6">
            <w:pPr>
              <w:pStyle w:val="Normlnywebov"/>
              <w:spacing w:before="0" w:beforeAutospacing="0" w:after="0" w:afterAutospacing="0"/>
              <w:rPr>
                <w:lang w:val="en-GB"/>
              </w:rPr>
            </w:pPr>
            <w:r w:rsidRPr="001F5897">
              <w:rPr>
                <w:rFonts w:ascii="Times New Roman" w:hAnsi="Times New Roman" w:cs="Times New Roman"/>
                <w:color w:val="000000"/>
                <w:lang w:val="en-GB"/>
              </w:rPr>
              <w:t xml:space="preserve">Section 551 - Seizure of Property (International </w:t>
            </w:r>
            <w:proofErr w:type="spellStart"/>
            <w:r w:rsidRPr="001F5897">
              <w:rPr>
                <w:rFonts w:ascii="Times New Roman" w:hAnsi="Times New Roman" w:cs="Times New Roman"/>
                <w:color w:val="000000"/>
                <w:lang w:val="en-GB"/>
              </w:rPr>
              <w:t>Rogatory</w:t>
            </w:r>
            <w:proofErr w:type="spellEnd"/>
            <w:r w:rsidRPr="001F5897">
              <w:rPr>
                <w:rFonts w:ascii="Times New Roman" w:hAnsi="Times New Roman" w:cs="Times New Roman"/>
                <w:color w:val="000000"/>
                <w:lang w:val="en-GB"/>
              </w:rPr>
              <w:t xml:space="preserve"> Letter)</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2D48279A"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29</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4424187C"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50.370</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37CC2936"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0</w:t>
            </w:r>
          </w:p>
        </w:tc>
        <w:tc>
          <w:tcPr>
            <w:tcW w:w="0" w:type="auto"/>
            <w:tcBorders>
              <w:top w:val="single" w:sz="6" w:space="0" w:color="000000"/>
              <w:left w:val="single" w:sz="6" w:space="0" w:color="000000"/>
              <w:bottom w:val="single" w:sz="6" w:space="0" w:color="000000"/>
              <w:right w:val="single" w:sz="6" w:space="0" w:color="000000"/>
            </w:tcBorders>
            <w:shd w:val="clear" w:color="auto" w:fill="DBEEF3"/>
            <w:tcMar>
              <w:top w:w="0" w:type="dxa"/>
              <w:left w:w="120" w:type="dxa"/>
              <w:bottom w:w="0" w:type="dxa"/>
              <w:right w:w="120" w:type="dxa"/>
            </w:tcMar>
            <w:vAlign w:val="center"/>
          </w:tcPr>
          <w:p w14:paraId="2E55C021" w14:textId="77777777" w:rsidR="001253B5" w:rsidRPr="001F5897" w:rsidRDefault="001253B5" w:rsidP="00D21CC6">
            <w:pPr>
              <w:pStyle w:val="Normlnywebov"/>
              <w:spacing w:before="0" w:beforeAutospacing="0" w:after="0" w:afterAutospacing="0"/>
              <w:jc w:val="center"/>
              <w:rPr>
                <w:lang w:val="en-GB"/>
              </w:rPr>
            </w:pPr>
            <w:r w:rsidRPr="001F5897">
              <w:rPr>
                <w:rFonts w:ascii="Times New Roman" w:hAnsi="Times New Roman" w:cs="Times New Roman"/>
                <w:color w:val="000000"/>
                <w:lang w:val="en-GB"/>
              </w:rPr>
              <w:t>0</w:t>
            </w:r>
          </w:p>
        </w:tc>
      </w:tr>
    </w:tbl>
    <w:p w14:paraId="02E20C53" w14:textId="77777777" w:rsidR="001253B5" w:rsidRPr="001F5897" w:rsidRDefault="001253B5" w:rsidP="001253B5">
      <w:pPr>
        <w:spacing w:after="160"/>
        <w:rPr>
          <w:rFonts w:eastAsiaTheme="minorHAnsi" w:cstheme="minorBidi"/>
          <w:lang w:eastAsia="en-US"/>
        </w:rPr>
      </w:pPr>
      <w:r w:rsidRPr="001F5897">
        <w:rPr>
          <w:rFonts w:eastAsiaTheme="minorHAnsi" w:cstheme="minorBidi"/>
          <w:lang w:eastAsia="en-US"/>
        </w:rPr>
        <w:t xml:space="preserve">x – Data is not statistically presented by GP SR </w:t>
      </w:r>
    </w:p>
    <w:p w14:paraId="565F19C5" w14:textId="77777777" w:rsidR="00D21CC6" w:rsidRPr="001F5897" w:rsidRDefault="00D21CC6">
      <w:pPr>
        <w:sectPr w:rsidR="00D21CC6" w:rsidRPr="001F5897" w:rsidSect="00E222DA">
          <w:pgSz w:w="11906" w:h="16838"/>
          <w:pgMar w:top="1417" w:right="1417" w:bottom="1417" w:left="1417" w:header="708" w:footer="708" w:gutter="0"/>
          <w:cols w:space="708"/>
          <w:docGrid w:linePitch="360"/>
        </w:sectPr>
      </w:pPr>
    </w:p>
    <w:p w14:paraId="060D1438" w14:textId="00A1B310" w:rsidR="00E222DA" w:rsidRPr="001F5897" w:rsidRDefault="00E222DA"/>
    <w:tbl>
      <w:tblPr>
        <w:tblW w:w="13999" w:type="dxa"/>
        <w:jc w:val="right"/>
        <w:tblCellMar>
          <w:left w:w="70" w:type="dxa"/>
          <w:right w:w="70" w:type="dxa"/>
        </w:tblCellMar>
        <w:tblLook w:val="04A0" w:firstRow="1" w:lastRow="0" w:firstColumn="1" w:lastColumn="0" w:noHBand="0" w:noVBand="1"/>
      </w:tblPr>
      <w:tblGrid>
        <w:gridCol w:w="366"/>
        <w:gridCol w:w="920"/>
        <w:gridCol w:w="980"/>
        <w:gridCol w:w="591"/>
        <w:gridCol w:w="579"/>
        <w:gridCol w:w="1040"/>
        <w:gridCol w:w="616"/>
        <w:gridCol w:w="579"/>
        <w:gridCol w:w="1048"/>
        <w:gridCol w:w="682"/>
        <w:gridCol w:w="340"/>
        <w:gridCol w:w="335"/>
        <w:gridCol w:w="709"/>
        <w:gridCol w:w="340"/>
        <w:gridCol w:w="274"/>
        <w:gridCol w:w="741"/>
        <w:gridCol w:w="664"/>
        <w:gridCol w:w="690"/>
        <w:gridCol w:w="835"/>
        <w:gridCol w:w="835"/>
        <w:gridCol w:w="835"/>
      </w:tblGrid>
      <w:tr w:rsidR="00E222DA" w:rsidRPr="001F5897" w14:paraId="167469B8" w14:textId="77777777" w:rsidTr="00D21CC6">
        <w:trPr>
          <w:trHeight w:val="310"/>
          <w:jc w:val="right"/>
        </w:trPr>
        <w:tc>
          <w:tcPr>
            <w:tcW w:w="366" w:type="dxa"/>
            <w:vMerge w:val="restart"/>
            <w:tcBorders>
              <w:top w:val="single" w:sz="8" w:space="0" w:color="auto"/>
              <w:left w:val="single" w:sz="8" w:space="0" w:color="auto"/>
              <w:bottom w:val="single" w:sz="8" w:space="0" w:color="000000"/>
              <w:right w:val="single" w:sz="8" w:space="0" w:color="auto"/>
            </w:tcBorders>
            <w:shd w:val="clear" w:color="000000" w:fill="FBF9D9"/>
            <w:vAlign w:val="center"/>
            <w:hideMark/>
          </w:tcPr>
          <w:p w14:paraId="0C125304" w14:textId="77777777" w:rsidR="00E222DA" w:rsidRPr="001F5897" w:rsidRDefault="00E222DA" w:rsidP="00D21CC6">
            <w:pPr>
              <w:jc w:val="left"/>
              <w:rPr>
                <w:b/>
                <w:bCs/>
                <w:color w:val="000000"/>
                <w:sz w:val="22"/>
                <w:szCs w:val="22"/>
              </w:rPr>
            </w:pPr>
            <w:bookmarkStart w:id="4" w:name="_Toc412466389"/>
          </w:p>
        </w:tc>
        <w:tc>
          <w:tcPr>
            <w:tcW w:w="1883" w:type="dxa"/>
            <w:gridSpan w:val="2"/>
            <w:vMerge w:val="restart"/>
            <w:tcBorders>
              <w:top w:val="single" w:sz="8" w:space="0" w:color="auto"/>
              <w:left w:val="single" w:sz="8" w:space="0" w:color="auto"/>
              <w:bottom w:val="single" w:sz="8" w:space="0" w:color="000000"/>
              <w:right w:val="single" w:sz="8" w:space="0" w:color="000000"/>
            </w:tcBorders>
            <w:shd w:val="clear" w:color="000000" w:fill="FBF9D9"/>
            <w:vAlign w:val="center"/>
            <w:hideMark/>
          </w:tcPr>
          <w:p w14:paraId="3607858A" w14:textId="77777777" w:rsidR="00E222DA" w:rsidRPr="001F5897" w:rsidRDefault="00E222DA" w:rsidP="00D21CC6">
            <w:pPr>
              <w:jc w:val="left"/>
              <w:rPr>
                <w:b/>
                <w:bCs/>
                <w:color w:val="000000"/>
                <w:sz w:val="22"/>
                <w:szCs w:val="22"/>
              </w:rPr>
            </w:pPr>
            <w:r w:rsidRPr="001F5897">
              <w:rPr>
                <w:b/>
                <w:bCs/>
              </w:rPr>
              <w:t>Regulations of Code of Criminal Procedure</w:t>
            </w:r>
          </w:p>
        </w:tc>
        <w:tc>
          <w:tcPr>
            <w:tcW w:w="4454" w:type="dxa"/>
            <w:gridSpan w:val="6"/>
            <w:tcBorders>
              <w:top w:val="single" w:sz="8" w:space="0" w:color="auto"/>
              <w:left w:val="nil"/>
              <w:bottom w:val="single" w:sz="8" w:space="0" w:color="auto"/>
              <w:right w:val="single" w:sz="8" w:space="0" w:color="000000"/>
            </w:tcBorders>
            <w:shd w:val="clear" w:color="000000" w:fill="FBF9D9"/>
            <w:vAlign w:val="center"/>
            <w:hideMark/>
          </w:tcPr>
          <w:p w14:paraId="599AC4BD" w14:textId="77777777" w:rsidR="00E222DA" w:rsidRPr="001F5897" w:rsidRDefault="00E222DA" w:rsidP="00D21CC6">
            <w:pPr>
              <w:jc w:val="center"/>
              <w:rPr>
                <w:b/>
                <w:bCs/>
                <w:color w:val="000000"/>
                <w:sz w:val="22"/>
                <w:szCs w:val="22"/>
              </w:rPr>
            </w:pPr>
            <w:r w:rsidRPr="001F5897">
              <w:rPr>
                <w:b/>
                <w:bCs/>
              </w:rPr>
              <w:t>Ministry of Interior of the Slovak Republic</w:t>
            </w:r>
          </w:p>
        </w:tc>
        <w:tc>
          <w:tcPr>
            <w:tcW w:w="2684" w:type="dxa"/>
            <w:gridSpan w:val="6"/>
            <w:tcBorders>
              <w:top w:val="single" w:sz="8" w:space="0" w:color="auto"/>
              <w:left w:val="nil"/>
              <w:bottom w:val="single" w:sz="8" w:space="0" w:color="auto"/>
              <w:right w:val="single" w:sz="8" w:space="0" w:color="000000"/>
            </w:tcBorders>
            <w:shd w:val="clear" w:color="000000" w:fill="FBF9D9"/>
            <w:vAlign w:val="center"/>
            <w:hideMark/>
          </w:tcPr>
          <w:p w14:paraId="217A7D0D" w14:textId="77777777" w:rsidR="00E222DA" w:rsidRPr="001F5897" w:rsidRDefault="00E222DA" w:rsidP="00D21CC6">
            <w:pPr>
              <w:jc w:val="center"/>
              <w:rPr>
                <w:b/>
                <w:bCs/>
                <w:color w:val="000000"/>
                <w:sz w:val="22"/>
                <w:szCs w:val="22"/>
              </w:rPr>
            </w:pPr>
            <w:r w:rsidRPr="001F5897">
              <w:rPr>
                <w:b/>
                <w:bCs/>
              </w:rPr>
              <w:t>General Prosecutor´s Office</w:t>
            </w:r>
          </w:p>
        </w:tc>
        <w:tc>
          <w:tcPr>
            <w:tcW w:w="4612" w:type="dxa"/>
            <w:gridSpan w:val="6"/>
            <w:tcBorders>
              <w:top w:val="single" w:sz="8" w:space="0" w:color="auto"/>
              <w:left w:val="nil"/>
              <w:bottom w:val="single" w:sz="8" w:space="0" w:color="auto"/>
              <w:right w:val="single" w:sz="8" w:space="0" w:color="000000"/>
            </w:tcBorders>
            <w:shd w:val="clear" w:color="000000" w:fill="FBF9D9"/>
            <w:vAlign w:val="center"/>
            <w:hideMark/>
          </w:tcPr>
          <w:p w14:paraId="731C0EE5" w14:textId="77777777" w:rsidR="00E222DA" w:rsidRPr="001F5897" w:rsidRDefault="00E222DA" w:rsidP="00D21CC6">
            <w:pPr>
              <w:jc w:val="center"/>
              <w:rPr>
                <w:b/>
                <w:bCs/>
                <w:color w:val="000000"/>
                <w:sz w:val="22"/>
                <w:szCs w:val="22"/>
              </w:rPr>
            </w:pPr>
            <w:r w:rsidRPr="001F5897">
              <w:rPr>
                <w:b/>
                <w:bCs/>
              </w:rPr>
              <w:t>Ministry of Justice of the Slovak Republic</w:t>
            </w:r>
          </w:p>
        </w:tc>
      </w:tr>
      <w:tr w:rsidR="00E222DA" w:rsidRPr="001F5897" w14:paraId="140D8BBC" w14:textId="77777777" w:rsidTr="00D21CC6">
        <w:trPr>
          <w:trHeight w:val="310"/>
          <w:jc w:val="right"/>
        </w:trPr>
        <w:tc>
          <w:tcPr>
            <w:tcW w:w="366" w:type="dxa"/>
            <w:vMerge/>
            <w:tcBorders>
              <w:top w:val="single" w:sz="8" w:space="0" w:color="auto"/>
              <w:left w:val="single" w:sz="8" w:space="0" w:color="auto"/>
              <w:bottom w:val="single" w:sz="8" w:space="0" w:color="000000"/>
              <w:right w:val="single" w:sz="8" w:space="0" w:color="auto"/>
            </w:tcBorders>
            <w:vAlign w:val="center"/>
            <w:hideMark/>
          </w:tcPr>
          <w:p w14:paraId="0B087B5C" w14:textId="77777777" w:rsidR="00E222DA" w:rsidRPr="001F5897" w:rsidRDefault="00E222DA" w:rsidP="00D21CC6">
            <w:pPr>
              <w:jc w:val="left"/>
              <w:rPr>
                <w:b/>
                <w:bCs/>
                <w:color w:val="000000"/>
                <w:sz w:val="22"/>
                <w:szCs w:val="22"/>
              </w:rPr>
            </w:pPr>
          </w:p>
        </w:tc>
        <w:tc>
          <w:tcPr>
            <w:tcW w:w="1883" w:type="dxa"/>
            <w:gridSpan w:val="2"/>
            <w:vMerge/>
            <w:tcBorders>
              <w:top w:val="single" w:sz="8" w:space="0" w:color="auto"/>
              <w:left w:val="single" w:sz="8" w:space="0" w:color="auto"/>
              <w:bottom w:val="single" w:sz="8" w:space="0" w:color="000000"/>
              <w:right w:val="single" w:sz="8" w:space="0" w:color="000000"/>
            </w:tcBorders>
            <w:vAlign w:val="center"/>
            <w:hideMark/>
          </w:tcPr>
          <w:p w14:paraId="5F711EC9" w14:textId="77777777" w:rsidR="00E222DA" w:rsidRPr="001F5897" w:rsidRDefault="00E222DA" w:rsidP="00D21CC6">
            <w:pPr>
              <w:jc w:val="left"/>
              <w:rPr>
                <w:b/>
                <w:bCs/>
                <w:color w:val="000000"/>
                <w:sz w:val="22"/>
                <w:szCs w:val="22"/>
              </w:rPr>
            </w:pPr>
          </w:p>
        </w:tc>
        <w:tc>
          <w:tcPr>
            <w:tcW w:w="2210" w:type="dxa"/>
            <w:gridSpan w:val="3"/>
            <w:tcBorders>
              <w:top w:val="single" w:sz="8" w:space="0" w:color="auto"/>
              <w:left w:val="nil"/>
              <w:bottom w:val="single" w:sz="8" w:space="0" w:color="auto"/>
              <w:right w:val="single" w:sz="8" w:space="0" w:color="000000"/>
            </w:tcBorders>
            <w:shd w:val="clear" w:color="000000" w:fill="FBF9D9"/>
            <w:vAlign w:val="center"/>
            <w:hideMark/>
          </w:tcPr>
          <w:p w14:paraId="11B6DEDD" w14:textId="77777777" w:rsidR="00E222DA" w:rsidRPr="001F5897" w:rsidRDefault="00E222DA" w:rsidP="00D21CC6">
            <w:pPr>
              <w:jc w:val="center"/>
              <w:rPr>
                <w:b/>
                <w:bCs/>
                <w:color w:val="000000"/>
                <w:sz w:val="22"/>
                <w:szCs w:val="22"/>
              </w:rPr>
            </w:pPr>
            <w:r w:rsidRPr="001F5897">
              <w:rPr>
                <w:b/>
                <w:bCs/>
                <w:color w:val="000000"/>
                <w:sz w:val="22"/>
                <w:szCs w:val="22"/>
              </w:rPr>
              <w:t>year 2013</w:t>
            </w:r>
          </w:p>
        </w:tc>
        <w:tc>
          <w:tcPr>
            <w:tcW w:w="2244" w:type="dxa"/>
            <w:gridSpan w:val="3"/>
            <w:tcBorders>
              <w:top w:val="single" w:sz="8" w:space="0" w:color="auto"/>
              <w:left w:val="nil"/>
              <w:bottom w:val="single" w:sz="8" w:space="0" w:color="auto"/>
              <w:right w:val="single" w:sz="8" w:space="0" w:color="000000"/>
            </w:tcBorders>
            <w:shd w:val="clear" w:color="000000" w:fill="FBF9D9"/>
            <w:vAlign w:val="center"/>
            <w:hideMark/>
          </w:tcPr>
          <w:p w14:paraId="2F906F98" w14:textId="77777777" w:rsidR="00E222DA" w:rsidRPr="001F5897" w:rsidRDefault="00E222DA" w:rsidP="00D21CC6">
            <w:pPr>
              <w:jc w:val="center"/>
              <w:rPr>
                <w:b/>
                <w:bCs/>
                <w:color w:val="000000"/>
                <w:sz w:val="22"/>
                <w:szCs w:val="22"/>
              </w:rPr>
            </w:pPr>
            <w:r w:rsidRPr="001F5897">
              <w:rPr>
                <w:b/>
                <w:bCs/>
                <w:color w:val="000000"/>
                <w:sz w:val="22"/>
                <w:szCs w:val="22"/>
              </w:rPr>
              <w:t>year 2014</w:t>
            </w:r>
          </w:p>
        </w:tc>
        <w:tc>
          <w:tcPr>
            <w:tcW w:w="1359" w:type="dxa"/>
            <w:gridSpan w:val="3"/>
            <w:tcBorders>
              <w:top w:val="single" w:sz="8" w:space="0" w:color="auto"/>
              <w:left w:val="nil"/>
              <w:bottom w:val="single" w:sz="8" w:space="0" w:color="auto"/>
              <w:right w:val="single" w:sz="8" w:space="0" w:color="000000"/>
            </w:tcBorders>
            <w:shd w:val="clear" w:color="000000" w:fill="FBF9D9"/>
            <w:vAlign w:val="center"/>
            <w:hideMark/>
          </w:tcPr>
          <w:p w14:paraId="5315F39B" w14:textId="77777777" w:rsidR="00E222DA" w:rsidRPr="001F5897" w:rsidRDefault="00E222DA" w:rsidP="00D21CC6">
            <w:pPr>
              <w:jc w:val="center"/>
              <w:rPr>
                <w:b/>
                <w:bCs/>
                <w:color w:val="000000"/>
                <w:sz w:val="22"/>
                <w:szCs w:val="22"/>
              </w:rPr>
            </w:pPr>
            <w:r w:rsidRPr="001F5897">
              <w:rPr>
                <w:b/>
                <w:bCs/>
                <w:color w:val="000000"/>
                <w:sz w:val="22"/>
                <w:szCs w:val="22"/>
              </w:rPr>
              <w:t>year 2013</w:t>
            </w:r>
          </w:p>
        </w:tc>
        <w:tc>
          <w:tcPr>
            <w:tcW w:w="1325" w:type="dxa"/>
            <w:gridSpan w:val="3"/>
            <w:tcBorders>
              <w:top w:val="single" w:sz="8" w:space="0" w:color="auto"/>
              <w:left w:val="nil"/>
              <w:bottom w:val="single" w:sz="8" w:space="0" w:color="auto"/>
              <w:right w:val="single" w:sz="8" w:space="0" w:color="000000"/>
            </w:tcBorders>
            <w:shd w:val="clear" w:color="000000" w:fill="FBF9D9"/>
            <w:vAlign w:val="center"/>
            <w:hideMark/>
          </w:tcPr>
          <w:p w14:paraId="0C2F75E7" w14:textId="77777777" w:rsidR="00E222DA" w:rsidRPr="001F5897" w:rsidRDefault="00E222DA" w:rsidP="00D21CC6">
            <w:pPr>
              <w:jc w:val="center"/>
              <w:rPr>
                <w:b/>
                <w:bCs/>
                <w:color w:val="000000"/>
                <w:sz w:val="22"/>
                <w:szCs w:val="22"/>
              </w:rPr>
            </w:pPr>
            <w:r w:rsidRPr="001F5897">
              <w:rPr>
                <w:b/>
                <w:bCs/>
                <w:color w:val="000000"/>
                <w:sz w:val="22"/>
                <w:szCs w:val="22"/>
              </w:rPr>
              <w:t>year 2014</w:t>
            </w:r>
          </w:p>
        </w:tc>
        <w:tc>
          <w:tcPr>
            <w:tcW w:w="2098" w:type="dxa"/>
            <w:gridSpan w:val="3"/>
            <w:tcBorders>
              <w:top w:val="single" w:sz="8" w:space="0" w:color="auto"/>
              <w:left w:val="nil"/>
              <w:bottom w:val="single" w:sz="8" w:space="0" w:color="auto"/>
              <w:right w:val="single" w:sz="8" w:space="0" w:color="000000"/>
            </w:tcBorders>
            <w:shd w:val="clear" w:color="000000" w:fill="FBF9D9"/>
            <w:vAlign w:val="center"/>
            <w:hideMark/>
          </w:tcPr>
          <w:p w14:paraId="13CAC44F" w14:textId="77777777" w:rsidR="00E222DA" w:rsidRPr="001F5897" w:rsidRDefault="00E222DA" w:rsidP="00D21CC6">
            <w:pPr>
              <w:jc w:val="center"/>
              <w:rPr>
                <w:b/>
                <w:bCs/>
                <w:color w:val="000000"/>
                <w:sz w:val="22"/>
                <w:szCs w:val="22"/>
              </w:rPr>
            </w:pPr>
            <w:r w:rsidRPr="001F5897">
              <w:rPr>
                <w:b/>
                <w:bCs/>
                <w:color w:val="000000"/>
                <w:sz w:val="22"/>
                <w:szCs w:val="22"/>
              </w:rPr>
              <w:t>year 2013</w:t>
            </w:r>
          </w:p>
        </w:tc>
        <w:tc>
          <w:tcPr>
            <w:tcW w:w="2514" w:type="dxa"/>
            <w:gridSpan w:val="3"/>
            <w:tcBorders>
              <w:top w:val="single" w:sz="8" w:space="0" w:color="auto"/>
              <w:left w:val="nil"/>
              <w:bottom w:val="single" w:sz="8" w:space="0" w:color="auto"/>
              <w:right w:val="single" w:sz="8" w:space="0" w:color="000000"/>
            </w:tcBorders>
            <w:shd w:val="clear" w:color="000000" w:fill="FBF9D9"/>
            <w:vAlign w:val="center"/>
            <w:hideMark/>
          </w:tcPr>
          <w:p w14:paraId="64D9D6AD" w14:textId="77777777" w:rsidR="00E222DA" w:rsidRPr="001F5897" w:rsidRDefault="00E222DA" w:rsidP="00D21CC6">
            <w:pPr>
              <w:jc w:val="center"/>
              <w:rPr>
                <w:b/>
                <w:bCs/>
                <w:color w:val="000000"/>
                <w:sz w:val="22"/>
                <w:szCs w:val="22"/>
              </w:rPr>
            </w:pPr>
            <w:r w:rsidRPr="001F5897">
              <w:rPr>
                <w:b/>
                <w:bCs/>
                <w:color w:val="000000"/>
                <w:sz w:val="22"/>
                <w:szCs w:val="22"/>
              </w:rPr>
              <w:t>year 2014</w:t>
            </w:r>
          </w:p>
        </w:tc>
      </w:tr>
      <w:tr w:rsidR="00E222DA" w:rsidRPr="001F5897" w14:paraId="370B972F" w14:textId="77777777" w:rsidTr="00D21CC6">
        <w:trPr>
          <w:trHeight w:val="428"/>
          <w:jc w:val="right"/>
        </w:trPr>
        <w:tc>
          <w:tcPr>
            <w:tcW w:w="366" w:type="dxa"/>
            <w:vMerge/>
            <w:tcBorders>
              <w:top w:val="single" w:sz="8" w:space="0" w:color="auto"/>
              <w:left w:val="single" w:sz="8" w:space="0" w:color="auto"/>
              <w:bottom w:val="single" w:sz="8" w:space="0" w:color="000000"/>
              <w:right w:val="single" w:sz="8" w:space="0" w:color="auto"/>
            </w:tcBorders>
            <w:vAlign w:val="center"/>
            <w:hideMark/>
          </w:tcPr>
          <w:p w14:paraId="66B65973" w14:textId="77777777" w:rsidR="00E222DA" w:rsidRPr="001F5897" w:rsidRDefault="00E222DA" w:rsidP="00D21CC6">
            <w:pPr>
              <w:jc w:val="left"/>
              <w:rPr>
                <w:b/>
                <w:bCs/>
                <w:color w:val="000000"/>
                <w:sz w:val="22"/>
                <w:szCs w:val="22"/>
              </w:rPr>
            </w:pPr>
          </w:p>
        </w:tc>
        <w:tc>
          <w:tcPr>
            <w:tcW w:w="1883" w:type="dxa"/>
            <w:gridSpan w:val="2"/>
            <w:vMerge/>
            <w:tcBorders>
              <w:top w:val="single" w:sz="8" w:space="0" w:color="auto"/>
              <w:left w:val="single" w:sz="8" w:space="0" w:color="auto"/>
              <w:bottom w:val="single" w:sz="8" w:space="0" w:color="000000"/>
              <w:right w:val="single" w:sz="8" w:space="0" w:color="000000"/>
            </w:tcBorders>
            <w:vAlign w:val="center"/>
            <w:hideMark/>
          </w:tcPr>
          <w:p w14:paraId="7C928CC8" w14:textId="77777777" w:rsidR="00E222DA" w:rsidRPr="001F5897" w:rsidRDefault="00E222DA" w:rsidP="00D21CC6">
            <w:pPr>
              <w:jc w:val="left"/>
              <w:rPr>
                <w:b/>
                <w:bCs/>
                <w:color w:val="000000"/>
                <w:sz w:val="22"/>
                <w:szCs w:val="22"/>
              </w:rPr>
            </w:pPr>
          </w:p>
        </w:tc>
        <w:tc>
          <w:tcPr>
            <w:tcW w:w="591" w:type="dxa"/>
            <w:tcBorders>
              <w:top w:val="nil"/>
              <w:left w:val="nil"/>
              <w:bottom w:val="single" w:sz="8" w:space="0" w:color="auto"/>
              <w:right w:val="single" w:sz="8" w:space="0" w:color="auto"/>
            </w:tcBorders>
            <w:shd w:val="clear" w:color="000000" w:fill="FBF9D9"/>
            <w:vAlign w:val="center"/>
            <w:hideMark/>
          </w:tcPr>
          <w:p w14:paraId="1D2FC61A" w14:textId="77777777" w:rsidR="00E222DA" w:rsidRPr="001F5897" w:rsidRDefault="00E222DA" w:rsidP="00D21CC6">
            <w:pPr>
              <w:jc w:val="left"/>
              <w:rPr>
                <w:b/>
                <w:bCs/>
                <w:color w:val="000000"/>
                <w:sz w:val="16"/>
                <w:szCs w:val="16"/>
              </w:rPr>
            </w:pPr>
            <w:r w:rsidRPr="001F5897">
              <w:rPr>
                <w:b/>
                <w:bCs/>
                <w:sz w:val="12"/>
                <w:szCs w:val="12"/>
              </w:rPr>
              <w:t>Number of cases</w:t>
            </w:r>
          </w:p>
        </w:tc>
        <w:tc>
          <w:tcPr>
            <w:tcW w:w="579" w:type="dxa"/>
            <w:tcBorders>
              <w:top w:val="nil"/>
              <w:left w:val="nil"/>
              <w:bottom w:val="single" w:sz="8" w:space="0" w:color="auto"/>
              <w:right w:val="single" w:sz="8" w:space="0" w:color="auto"/>
            </w:tcBorders>
            <w:shd w:val="clear" w:color="000000" w:fill="FBF9D9"/>
            <w:vAlign w:val="center"/>
            <w:hideMark/>
          </w:tcPr>
          <w:p w14:paraId="4CCF8712" w14:textId="77777777" w:rsidR="00E222DA" w:rsidRPr="001F5897" w:rsidRDefault="00E222DA" w:rsidP="00D21CC6">
            <w:pPr>
              <w:jc w:val="left"/>
              <w:rPr>
                <w:b/>
                <w:bCs/>
                <w:color w:val="000000"/>
                <w:sz w:val="16"/>
                <w:szCs w:val="16"/>
              </w:rPr>
            </w:pPr>
            <w:r w:rsidRPr="001F5897">
              <w:rPr>
                <w:b/>
                <w:bCs/>
                <w:sz w:val="12"/>
                <w:szCs w:val="12"/>
              </w:rPr>
              <w:t>Number of persons</w:t>
            </w:r>
          </w:p>
        </w:tc>
        <w:tc>
          <w:tcPr>
            <w:tcW w:w="1040" w:type="dxa"/>
            <w:tcBorders>
              <w:top w:val="nil"/>
              <w:left w:val="nil"/>
              <w:bottom w:val="single" w:sz="8" w:space="0" w:color="auto"/>
              <w:right w:val="single" w:sz="8" w:space="0" w:color="auto"/>
            </w:tcBorders>
            <w:shd w:val="clear" w:color="000000" w:fill="FBF9D9"/>
            <w:vAlign w:val="center"/>
            <w:hideMark/>
          </w:tcPr>
          <w:p w14:paraId="507D9D26" w14:textId="77777777" w:rsidR="00E222DA" w:rsidRPr="001F5897" w:rsidRDefault="00E222DA" w:rsidP="00D21CC6">
            <w:pPr>
              <w:jc w:val="left"/>
              <w:rPr>
                <w:b/>
                <w:bCs/>
                <w:color w:val="000000"/>
                <w:sz w:val="16"/>
                <w:szCs w:val="16"/>
              </w:rPr>
            </w:pPr>
            <w:r w:rsidRPr="001F5897">
              <w:rPr>
                <w:b/>
                <w:bCs/>
                <w:sz w:val="12"/>
                <w:szCs w:val="12"/>
              </w:rPr>
              <w:t>Extent of damage in EUR</w:t>
            </w:r>
          </w:p>
        </w:tc>
        <w:tc>
          <w:tcPr>
            <w:tcW w:w="617" w:type="dxa"/>
            <w:tcBorders>
              <w:top w:val="nil"/>
              <w:left w:val="nil"/>
              <w:bottom w:val="single" w:sz="8" w:space="0" w:color="auto"/>
              <w:right w:val="single" w:sz="8" w:space="0" w:color="auto"/>
            </w:tcBorders>
            <w:shd w:val="clear" w:color="000000" w:fill="FBF9D9"/>
            <w:vAlign w:val="center"/>
            <w:hideMark/>
          </w:tcPr>
          <w:p w14:paraId="7E028BF3" w14:textId="77777777" w:rsidR="00E222DA" w:rsidRPr="001F5897" w:rsidRDefault="00E222DA" w:rsidP="00D21CC6">
            <w:pPr>
              <w:jc w:val="left"/>
              <w:rPr>
                <w:b/>
                <w:bCs/>
                <w:color w:val="000000"/>
                <w:sz w:val="16"/>
                <w:szCs w:val="16"/>
              </w:rPr>
            </w:pPr>
            <w:r w:rsidRPr="001F5897">
              <w:rPr>
                <w:b/>
                <w:bCs/>
                <w:sz w:val="12"/>
                <w:szCs w:val="12"/>
              </w:rPr>
              <w:t>Number of cases</w:t>
            </w:r>
          </w:p>
        </w:tc>
        <w:tc>
          <w:tcPr>
            <w:tcW w:w="579" w:type="dxa"/>
            <w:tcBorders>
              <w:top w:val="nil"/>
              <w:left w:val="nil"/>
              <w:bottom w:val="single" w:sz="8" w:space="0" w:color="auto"/>
              <w:right w:val="single" w:sz="8" w:space="0" w:color="auto"/>
            </w:tcBorders>
            <w:shd w:val="clear" w:color="000000" w:fill="FBF9D9"/>
            <w:vAlign w:val="center"/>
            <w:hideMark/>
          </w:tcPr>
          <w:p w14:paraId="42BFDE9D" w14:textId="77777777" w:rsidR="00E222DA" w:rsidRPr="001F5897" w:rsidRDefault="00E222DA" w:rsidP="00D21CC6">
            <w:pPr>
              <w:jc w:val="left"/>
              <w:rPr>
                <w:b/>
                <w:bCs/>
                <w:color w:val="000000"/>
                <w:sz w:val="16"/>
                <w:szCs w:val="16"/>
              </w:rPr>
            </w:pPr>
            <w:r w:rsidRPr="001F5897">
              <w:rPr>
                <w:b/>
                <w:bCs/>
                <w:sz w:val="12"/>
                <w:szCs w:val="12"/>
              </w:rPr>
              <w:t>Number of persons</w:t>
            </w:r>
          </w:p>
        </w:tc>
        <w:tc>
          <w:tcPr>
            <w:tcW w:w="1048" w:type="dxa"/>
            <w:tcBorders>
              <w:top w:val="nil"/>
              <w:left w:val="nil"/>
              <w:bottom w:val="single" w:sz="8" w:space="0" w:color="auto"/>
              <w:right w:val="single" w:sz="8" w:space="0" w:color="auto"/>
            </w:tcBorders>
            <w:shd w:val="clear" w:color="000000" w:fill="FBF9D9"/>
            <w:vAlign w:val="center"/>
            <w:hideMark/>
          </w:tcPr>
          <w:p w14:paraId="55CC181B" w14:textId="77777777" w:rsidR="00E222DA" w:rsidRPr="001F5897" w:rsidRDefault="00E222DA" w:rsidP="00D21CC6">
            <w:pPr>
              <w:jc w:val="left"/>
              <w:rPr>
                <w:b/>
                <w:bCs/>
                <w:color w:val="000000"/>
                <w:sz w:val="16"/>
                <w:szCs w:val="16"/>
              </w:rPr>
            </w:pPr>
            <w:r w:rsidRPr="001F5897">
              <w:rPr>
                <w:b/>
                <w:bCs/>
                <w:sz w:val="12"/>
                <w:szCs w:val="12"/>
              </w:rPr>
              <w:t>Extent of damage in EUR</w:t>
            </w:r>
          </w:p>
        </w:tc>
        <w:tc>
          <w:tcPr>
            <w:tcW w:w="683" w:type="dxa"/>
            <w:tcBorders>
              <w:top w:val="nil"/>
              <w:left w:val="nil"/>
              <w:bottom w:val="single" w:sz="8" w:space="0" w:color="auto"/>
              <w:right w:val="single" w:sz="8" w:space="0" w:color="auto"/>
            </w:tcBorders>
            <w:shd w:val="clear" w:color="000000" w:fill="FBF9D9"/>
            <w:vAlign w:val="center"/>
            <w:hideMark/>
          </w:tcPr>
          <w:p w14:paraId="11C5B34E" w14:textId="77777777" w:rsidR="00E222DA" w:rsidRPr="001F5897" w:rsidRDefault="00E222DA" w:rsidP="00D21CC6">
            <w:pPr>
              <w:jc w:val="left"/>
              <w:rPr>
                <w:b/>
                <w:bCs/>
                <w:color w:val="000000"/>
                <w:sz w:val="16"/>
                <w:szCs w:val="16"/>
              </w:rPr>
            </w:pPr>
            <w:r w:rsidRPr="001F5897">
              <w:rPr>
                <w:b/>
                <w:bCs/>
                <w:sz w:val="12"/>
                <w:szCs w:val="12"/>
              </w:rPr>
              <w:t>Number of cases</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687C7599" w14:textId="77777777" w:rsidR="00E222DA" w:rsidRPr="001F5897" w:rsidRDefault="00E222DA" w:rsidP="00D21CC6">
            <w:pPr>
              <w:jc w:val="left"/>
              <w:rPr>
                <w:b/>
                <w:bCs/>
                <w:color w:val="000000"/>
                <w:sz w:val="16"/>
                <w:szCs w:val="16"/>
              </w:rPr>
            </w:pPr>
            <w:r w:rsidRPr="001F5897">
              <w:rPr>
                <w:b/>
                <w:bCs/>
                <w:sz w:val="12"/>
                <w:szCs w:val="12"/>
              </w:rPr>
              <w:t>Number of persons</w:t>
            </w:r>
          </w:p>
        </w:tc>
        <w:tc>
          <w:tcPr>
            <w:tcW w:w="711" w:type="dxa"/>
            <w:tcBorders>
              <w:top w:val="nil"/>
              <w:left w:val="nil"/>
              <w:bottom w:val="single" w:sz="8" w:space="0" w:color="auto"/>
              <w:right w:val="single" w:sz="8" w:space="0" w:color="auto"/>
            </w:tcBorders>
            <w:shd w:val="clear" w:color="000000" w:fill="FBF9D9"/>
            <w:vAlign w:val="center"/>
            <w:hideMark/>
          </w:tcPr>
          <w:p w14:paraId="09B86C9D" w14:textId="77777777" w:rsidR="00E222DA" w:rsidRPr="001F5897" w:rsidRDefault="00E222DA" w:rsidP="00D21CC6">
            <w:pPr>
              <w:jc w:val="left"/>
              <w:rPr>
                <w:b/>
                <w:bCs/>
                <w:color w:val="000000"/>
                <w:sz w:val="16"/>
                <w:szCs w:val="16"/>
              </w:rPr>
            </w:pPr>
            <w:r w:rsidRPr="001F5897">
              <w:rPr>
                <w:b/>
                <w:bCs/>
                <w:sz w:val="12"/>
                <w:szCs w:val="12"/>
              </w:rPr>
              <w:t>Number of cases</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032B8A72" w14:textId="77777777" w:rsidR="00E222DA" w:rsidRPr="001F5897" w:rsidRDefault="00E222DA" w:rsidP="00D21CC6">
            <w:pPr>
              <w:jc w:val="left"/>
              <w:rPr>
                <w:b/>
                <w:bCs/>
                <w:color w:val="000000"/>
                <w:sz w:val="16"/>
                <w:szCs w:val="16"/>
              </w:rPr>
            </w:pPr>
            <w:r w:rsidRPr="001F5897">
              <w:rPr>
                <w:b/>
                <w:bCs/>
                <w:sz w:val="12"/>
                <w:szCs w:val="12"/>
              </w:rPr>
              <w:t>Number of persons</w:t>
            </w:r>
          </w:p>
        </w:tc>
        <w:tc>
          <w:tcPr>
            <w:tcW w:w="743" w:type="dxa"/>
            <w:tcBorders>
              <w:top w:val="nil"/>
              <w:left w:val="nil"/>
              <w:bottom w:val="single" w:sz="8" w:space="0" w:color="auto"/>
              <w:right w:val="single" w:sz="8" w:space="0" w:color="auto"/>
            </w:tcBorders>
            <w:shd w:val="clear" w:color="000000" w:fill="FBF9D9"/>
            <w:vAlign w:val="center"/>
            <w:hideMark/>
          </w:tcPr>
          <w:p w14:paraId="386AEEDD" w14:textId="77777777" w:rsidR="00E222DA" w:rsidRPr="001F5897" w:rsidRDefault="00E222DA" w:rsidP="00D21CC6">
            <w:pPr>
              <w:jc w:val="left"/>
              <w:rPr>
                <w:b/>
                <w:bCs/>
                <w:color w:val="000000"/>
                <w:sz w:val="16"/>
                <w:szCs w:val="16"/>
              </w:rPr>
            </w:pPr>
            <w:r w:rsidRPr="001F5897">
              <w:rPr>
                <w:b/>
                <w:bCs/>
                <w:sz w:val="12"/>
                <w:szCs w:val="12"/>
              </w:rPr>
              <w:t>Number of cases</w:t>
            </w:r>
          </w:p>
        </w:tc>
        <w:tc>
          <w:tcPr>
            <w:tcW w:w="665" w:type="dxa"/>
            <w:tcBorders>
              <w:top w:val="nil"/>
              <w:left w:val="nil"/>
              <w:bottom w:val="single" w:sz="8" w:space="0" w:color="auto"/>
              <w:right w:val="single" w:sz="8" w:space="0" w:color="auto"/>
            </w:tcBorders>
            <w:shd w:val="clear" w:color="000000" w:fill="FBF9D9"/>
            <w:vAlign w:val="center"/>
            <w:hideMark/>
          </w:tcPr>
          <w:p w14:paraId="795A57A5" w14:textId="77777777" w:rsidR="00E222DA" w:rsidRPr="001F5897" w:rsidRDefault="00E222DA" w:rsidP="00D21CC6">
            <w:pPr>
              <w:jc w:val="left"/>
              <w:rPr>
                <w:b/>
                <w:bCs/>
                <w:color w:val="000000"/>
                <w:sz w:val="16"/>
                <w:szCs w:val="16"/>
              </w:rPr>
            </w:pPr>
            <w:r w:rsidRPr="001F5897">
              <w:rPr>
                <w:b/>
                <w:bCs/>
                <w:sz w:val="12"/>
                <w:szCs w:val="12"/>
              </w:rPr>
              <w:t>Number of persons</w:t>
            </w:r>
          </w:p>
        </w:tc>
        <w:tc>
          <w:tcPr>
            <w:tcW w:w="690" w:type="dxa"/>
            <w:tcBorders>
              <w:top w:val="nil"/>
              <w:left w:val="nil"/>
              <w:bottom w:val="single" w:sz="8" w:space="0" w:color="auto"/>
              <w:right w:val="single" w:sz="8" w:space="0" w:color="auto"/>
            </w:tcBorders>
            <w:shd w:val="clear" w:color="000000" w:fill="FBF9D9"/>
            <w:vAlign w:val="center"/>
            <w:hideMark/>
          </w:tcPr>
          <w:p w14:paraId="19E1511A" w14:textId="77777777" w:rsidR="00E222DA" w:rsidRPr="001F5897" w:rsidRDefault="00E222DA" w:rsidP="00D21CC6">
            <w:pPr>
              <w:jc w:val="left"/>
              <w:rPr>
                <w:b/>
                <w:bCs/>
                <w:color w:val="000000"/>
                <w:sz w:val="16"/>
                <w:szCs w:val="16"/>
              </w:rPr>
            </w:pPr>
            <w:r w:rsidRPr="001F5897">
              <w:rPr>
                <w:b/>
                <w:bCs/>
                <w:sz w:val="12"/>
                <w:szCs w:val="12"/>
              </w:rPr>
              <w:t>Extent of damage in EUR</w:t>
            </w:r>
          </w:p>
        </w:tc>
        <w:tc>
          <w:tcPr>
            <w:tcW w:w="838" w:type="dxa"/>
            <w:tcBorders>
              <w:top w:val="nil"/>
              <w:left w:val="nil"/>
              <w:bottom w:val="single" w:sz="8" w:space="0" w:color="auto"/>
              <w:right w:val="single" w:sz="8" w:space="0" w:color="auto"/>
            </w:tcBorders>
            <w:shd w:val="clear" w:color="000000" w:fill="FBF9D9"/>
            <w:vAlign w:val="center"/>
            <w:hideMark/>
          </w:tcPr>
          <w:p w14:paraId="73F1052B" w14:textId="77777777" w:rsidR="00E222DA" w:rsidRPr="001F5897" w:rsidRDefault="00E222DA" w:rsidP="00D21CC6">
            <w:pPr>
              <w:jc w:val="left"/>
              <w:rPr>
                <w:b/>
                <w:bCs/>
                <w:color w:val="000000"/>
                <w:sz w:val="16"/>
                <w:szCs w:val="16"/>
              </w:rPr>
            </w:pPr>
            <w:r w:rsidRPr="001F5897">
              <w:rPr>
                <w:b/>
                <w:bCs/>
                <w:sz w:val="12"/>
                <w:szCs w:val="12"/>
              </w:rPr>
              <w:t>Number of cases</w:t>
            </w:r>
          </w:p>
        </w:tc>
        <w:tc>
          <w:tcPr>
            <w:tcW w:w="838" w:type="dxa"/>
            <w:tcBorders>
              <w:top w:val="nil"/>
              <w:left w:val="nil"/>
              <w:bottom w:val="single" w:sz="8" w:space="0" w:color="auto"/>
              <w:right w:val="single" w:sz="8" w:space="0" w:color="auto"/>
            </w:tcBorders>
            <w:shd w:val="clear" w:color="000000" w:fill="FBF9D9"/>
            <w:vAlign w:val="center"/>
          </w:tcPr>
          <w:p w14:paraId="006041B4" w14:textId="77777777" w:rsidR="00E222DA" w:rsidRPr="001F5897" w:rsidRDefault="00E222DA" w:rsidP="00D21CC6">
            <w:pPr>
              <w:jc w:val="left"/>
              <w:rPr>
                <w:b/>
                <w:bCs/>
                <w:color w:val="000000"/>
                <w:sz w:val="16"/>
                <w:szCs w:val="16"/>
              </w:rPr>
            </w:pPr>
            <w:r w:rsidRPr="001F5897">
              <w:rPr>
                <w:b/>
                <w:bCs/>
                <w:sz w:val="12"/>
                <w:szCs w:val="12"/>
              </w:rPr>
              <w:t>Number of persons</w:t>
            </w:r>
          </w:p>
        </w:tc>
        <w:tc>
          <w:tcPr>
            <w:tcW w:w="838" w:type="dxa"/>
            <w:tcBorders>
              <w:top w:val="nil"/>
              <w:left w:val="nil"/>
              <w:bottom w:val="single" w:sz="8" w:space="0" w:color="auto"/>
              <w:right w:val="single" w:sz="8" w:space="0" w:color="auto"/>
            </w:tcBorders>
            <w:shd w:val="clear" w:color="000000" w:fill="FBF9D9"/>
            <w:vAlign w:val="center"/>
          </w:tcPr>
          <w:p w14:paraId="07C54C45" w14:textId="77777777" w:rsidR="00E222DA" w:rsidRPr="001F5897" w:rsidRDefault="00E222DA" w:rsidP="00D21CC6">
            <w:pPr>
              <w:jc w:val="left"/>
              <w:rPr>
                <w:b/>
                <w:bCs/>
                <w:color w:val="000000"/>
                <w:sz w:val="16"/>
                <w:szCs w:val="16"/>
              </w:rPr>
            </w:pPr>
            <w:r w:rsidRPr="001F5897">
              <w:rPr>
                <w:b/>
                <w:bCs/>
                <w:sz w:val="12"/>
                <w:szCs w:val="12"/>
              </w:rPr>
              <w:t>Extent of damage in EUR</w:t>
            </w:r>
          </w:p>
        </w:tc>
      </w:tr>
      <w:tr w:rsidR="00E222DA" w:rsidRPr="001F5897" w14:paraId="4621E576" w14:textId="77777777" w:rsidTr="00D21CC6">
        <w:trPr>
          <w:trHeight w:val="487"/>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52B3BD0E" w14:textId="77777777" w:rsidR="00E222DA" w:rsidRPr="001F5897" w:rsidRDefault="00E222DA" w:rsidP="00D21CC6">
            <w:pPr>
              <w:jc w:val="right"/>
              <w:rPr>
                <w:color w:val="000000"/>
                <w:sz w:val="22"/>
                <w:szCs w:val="22"/>
              </w:rPr>
            </w:pPr>
            <w:r w:rsidRPr="001F5897">
              <w:rPr>
                <w:color w:val="000000"/>
                <w:sz w:val="22"/>
                <w:szCs w:val="22"/>
              </w:rPr>
              <w:t>1.</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5468AE95" w14:textId="77777777" w:rsidR="00E222DA" w:rsidRPr="001F5897" w:rsidRDefault="00E222DA" w:rsidP="00D21CC6">
            <w:pPr>
              <w:jc w:val="left"/>
              <w:rPr>
                <w:color w:val="000000"/>
              </w:rPr>
            </w:pPr>
            <w:r w:rsidRPr="001F5897">
              <w:rPr>
                <w:sz w:val="18"/>
                <w:szCs w:val="18"/>
              </w:rPr>
              <w:t>Inducement for criminal prosecution</w:t>
            </w:r>
          </w:p>
        </w:tc>
        <w:tc>
          <w:tcPr>
            <w:tcW w:w="591" w:type="dxa"/>
            <w:tcBorders>
              <w:top w:val="nil"/>
              <w:left w:val="nil"/>
              <w:bottom w:val="single" w:sz="8" w:space="0" w:color="auto"/>
              <w:right w:val="single" w:sz="8" w:space="0" w:color="auto"/>
            </w:tcBorders>
            <w:shd w:val="clear" w:color="000000" w:fill="FBF9D9"/>
            <w:vAlign w:val="center"/>
            <w:hideMark/>
          </w:tcPr>
          <w:p w14:paraId="4EFE6491" w14:textId="77777777" w:rsidR="00E222DA" w:rsidRPr="001F5897" w:rsidRDefault="00E222DA" w:rsidP="00D21CC6">
            <w:pPr>
              <w:jc w:val="center"/>
              <w:rPr>
                <w:b/>
                <w:bCs/>
                <w:color w:val="000000"/>
              </w:rPr>
            </w:pPr>
            <w:r w:rsidRPr="001F5897">
              <w:rPr>
                <w:b/>
                <w:bCs/>
                <w:color w:val="000000"/>
              </w:rPr>
              <w:t>65</w:t>
            </w:r>
          </w:p>
        </w:tc>
        <w:tc>
          <w:tcPr>
            <w:tcW w:w="579" w:type="dxa"/>
            <w:tcBorders>
              <w:top w:val="nil"/>
              <w:left w:val="nil"/>
              <w:bottom w:val="single" w:sz="8" w:space="0" w:color="auto"/>
              <w:right w:val="single" w:sz="8" w:space="0" w:color="auto"/>
            </w:tcBorders>
            <w:shd w:val="clear" w:color="000000" w:fill="FBF9D9"/>
            <w:vAlign w:val="center"/>
            <w:hideMark/>
          </w:tcPr>
          <w:p w14:paraId="1064F1BC" w14:textId="77777777" w:rsidR="00E222DA" w:rsidRPr="001F5897" w:rsidRDefault="00E222DA" w:rsidP="00D21CC6">
            <w:pPr>
              <w:jc w:val="center"/>
              <w:rPr>
                <w:b/>
                <w:bCs/>
                <w:color w:val="000000"/>
              </w:rPr>
            </w:pPr>
            <w:r w:rsidRPr="001F5897">
              <w:rPr>
                <w:b/>
                <w:bCs/>
                <w:color w:val="000000"/>
              </w:rPr>
              <w:t>48</w:t>
            </w:r>
          </w:p>
        </w:tc>
        <w:tc>
          <w:tcPr>
            <w:tcW w:w="1040" w:type="dxa"/>
            <w:tcBorders>
              <w:top w:val="nil"/>
              <w:left w:val="nil"/>
              <w:bottom w:val="single" w:sz="8" w:space="0" w:color="auto"/>
              <w:right w:val="single" w:sz="8" w:space="0" w:color="auto"/>
            </w:tcBorders>
            <w:shd w:val="clear" w:color="000000" w:fill="FBF9D9"/>
            <w:vAlign w:val="center"/>
            <w:hideMark/>
          </w:tcPr>
          <w:p w14:paraId="0B9A71B9" w14:textId="77777777" w:rsidR="00E222DA" w:rsidRPr="001F5897" w:rsidRDefault="00E222DA" w:rsidP="00D21CC6">
            <w:pPr>
              <w:jc w:val="center"/>
              <w:rPr>
                <w:b/>
                <w:bCs/>
                <w:color w:val="000000"/>
              </w:rPr>
            </w:pPr>
            <w:r w:rsidRPr="001F5897">
              <w:rPr>
                <w:b/>
                <w:bCs/>
                <w:color w:val="000000"/>
              </w:rPr>
              <w:t>6.054.246</w:t>
            </w:r>
          </w:p>
        </w:tc>
        <w:tc>
          <w:tcPr>
            <w:tcW w:w="617" w:type="dxa"/>
            <w:tcBorders>
              <w:top w:val="nil"/>
              <w:left w:val="nil"/>
              <w:bottom w:val="single" w:sz="8" w:space="0" w:color="auto"/>
              <w:right w:val="single" w:sz="8" w:space="0" w:color="auto"/>
            </w:tcBorders>
            <w:shd w:val="clear" w:color="000000" w:fill="FBF9D9"/>
            <w:vAlign w:val="center"/>
            <w:hideMark/>
          </w:tcPr>
          <w:p w14:paraId="3F097111" w14:textId="77777777" w:rsidR="00E222DA" w:rsidRPr="001F5897" w:rsidRDefault="00E222DA" w:rsidP="00D21CC6">
            <w:pPr>
              <w:jc w:val="center"/>
              <w:rPr>
                <w:b/>
                <w:bCs/>
                <w:color w:val="000000"/>
              </w:rPr>
            </w:pPr>
            <w:r w:rsidRPr="001F5897">
              <w:rPr>
                <w:b/>
                <w:bCs/>
                <w:color w:val="000000"/>
              </w:rPr>
              <w:t>26</w:t>
            </w:r>
          </w:p>
        </w:tc>
        <w:tc>
          <w:tcPr>
            <w:tcW w:w="579" w:type="dxa"/>
            <w:tcBorders>
              <w:top w:val="nil"/>
              <w:left w:val="nil"/>
              <w:bottom w:val="single" w:sz="8" w:space="0" w:color="auto"/>
              <w:right w:val="single" w:sz="8" w:space="0" w:color="auto"/>
            </w:tcBorders>
            <w:shd w:val="clear" w:color="000000" w:fill="FBF9D9"/>
            <w:vAlign w:val="center"/>
            <w:hideMark/>
          </w:tcPr>
          <w:p w14:paraId="68436F1E" w14:textId="77777777" w:rsidR="00E222DA" w:rsidRPr="001F5897" w:rsidRDefault="00E222DA" w:rsidP="00D21CC6">
            <w:pPr>
              <w:jc w:val="center"/>
              <w:rPr>
                <w:b/>
                <w:bCs/>
                <w:color w:val="000000"/>
              </w:rPr>
            </w:pPr>
            <w:r w:rsidRPr="001F5897">
              <w:rPr>
                <w:b/>
                <w:bCs/>
                <w:color w:val="000000"/>
              </w:rPr>
              <w:t>38</w:t>
            </w:r>
          </w:p>
        </w:tc>
        <w:tc>
          <w:tcPr>
            <w:tcW w:w="1048" w:type="dxa"/>
            <w:tcBorders>
              <w:top w:val="nil"/>
              <w:left w:val="nil"/>
              <w:bottom w:val="single" w:sz="8" w:space="0" w:color="auto"/>
              <w:right w:val="single" w:sz="8" w:space="0" w:color="auto"/>
            </w:tcBorders>
            <w:shd w:val="clear" w:color="000000" w:fill="FBF9D9"/>
            <w:vAlign w:val="center"/>
            <w:hideMark/>
          </w:tcPr>
          <w:p w14:paraId="7E0AB8D9" w14:textId="77777777" w:rsidR="00E222DA" w:rsidRPr="001F5897" w:rsidRDefault="00E222DA" w:rsidP="00D21CC6">
            <w:pPr>
              <w:jc w:val="center"/>
              <w:rPr>
                <w:b/>
                <w:bCs/>
                <w:color w:val="000000"/>
              </w:rPr>
            </w:pPr>
            <w:r w:rsidRPr="001F5897">
              <w:rPr>
                <w:b/>
                <w:bCs/>
                <w:color w:val="000000"/>
              </w:rPr>
              <w:t>980.546</w:t>
            </w:r>
          </w:p>
        </w:tc>
        <w:tc>
          <w:tcPr>
            <w:tcW w:w="683" w:type="dxa"/>
            <w:tcBorders>
              <w:top w:val="nil"/>
              <w:left w:val="nil"/>
              <w:bottom w:val="single" w:sz="8" w:space="0" w:color="auto"/>
              <w:right w:val="single" w:sz="8" w:space="0" w:color="auto"/>
            </w:tcBorders>
            <w:shd w:val="clear" w:color="000000" w:fill="FBF9D9"/>
            <w:vAlign w:val="center"/>
            <w:hideMark/>
          </w:tcPr>
          <w:p w14:paraId="7C624CB2" w14:textId="77777777" w:rsidR="00E222DA" w:rsidRPr="001F5897" w:rsidRDefault="00E222DA" w:rsidP="00D21CC6">
            <w:pPr>
              <w:jc w:val="center"/>
              <w:rPr>
                <w:color w:val="000000"/>
              </w:rPr>
            </w:pPr>
            <w:r w:rsidRPr="001F5897">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62255035" w14:textId="77777777" w:rsidR="00E222DA" w:rsidRPr="001F5897" w:rsidRDefault="00E222DA" w:rsidP="00D21CC6">
            <w:pPr>
              <w:jc w:val="center"/>
              <w:rPr>
                <w:color w:val="000000"/>
              </w:rPr>
            </w:pPr>
            <w:r w:rsidRPr="001F5897">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4C82F1B9" w14:textId="77777777" w:rsidR="00E222DA" w:rsidRPr="001F5897" w:rsidRDefault="00E222DA" w:rsidP="00D21CC6">
            <w:pPr>
              <w:jc w:val="center"/>
              <w:rPr>
                <w:color w:val="000000"/>
              </w:rPr>
            </w:pPr>
            <w:r w:rsidRPr="001F5897">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56801255" w14:textId="77777777" w:rsidR="00E222DA" w:rsidRPr="001F5897" w:rsidRDefault="00E222DA" w:rsidP="00D21CC6">
            <w:pPr>
              <w:jc w:val="center"/>
              <w:rPr>
                <w:color w:val="000000"/>
              </w:rPr>
            </w:pPr>
            <w:r w:rsidRPr="001F5897">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0A4C35B4" w14:textId="77777777" w:rsidR="00E222DA" w:rsidRPr="001F5897" w:rsidRDefault="00E222DA" w:rsidP="00D21CC6">
            <w:pPr>
              <w:jc w:val="center"/>
              <w:rPr>
                <w:color w:val="000000"/>
              </w:rPr>
            </w:pPr>
            <w:r w:rsidRPr="001F5897">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28B4E04E" w14:textId="77777777" w:rsidR="00E222DA" w:rsidRPr="001F5897" w:rsidRDefault="00E222DA" w:rsidP="00D21CC6">
            <w:pPr>
              <w:jc w:val="center"/>
              <w:rPr>
                <w:color w:val="000000"/>
              </w:rPr>
            </w:pPr>
            <w:r w:rsidRPr="001F5897">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3E0DE6BB"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365957F8"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1C909C3D"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72C68D26" w14:textId="77777777" w:rsidR="00E222DA" w:rsidRPr="001F5897" w:rsidRDefault="00E222DA" w:rsidP="00D21CC6">
            <w:pPr>
              <w:jc w:val="center"/>
              <w:rPr>
                <w:color w:val="000000"/>
              </w:rPr>
            </w:pPr>
            <w:r w:rsidRPr="001F5897">
              <w:rPr>
                <w:color w:val="000000"/>
              </w:rPr>
              <w:t>-</w:t>
            </w:r>
          </w:p>
        </w:tc>
      </w:tr>
      <w:tr w:rsidR="00E222DA" w:rsidRPr="001F5897" w14:paraId="482D7805" w14:textId="77777777" w:rsidTr="00D21CC6">
        <w:trPr>
          <w:trHeight w:val="310"/>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1D6CC70C" w14:textId="77777777" w:rsidR="00E222DA" w:rsidRPr="001F5897" w:rsidRDefault="00E222DA" w:rsidP="00D21CC6">
            <w:pPr>
              <w:jc w:val="right"/>
              <w:rPr>
                <w:color w:val="000000"/>
                <w:sz w:val="22"/>
                <w:szCs w:val="22"/>
              </w:rPr>
            </w:pPr>
            <w:r w:rsidRPr="001F5897">
              <w:rPr>
                <w:color w:val="000000"/>
                <w:sz w:val="22"/>
                <w:szCs w:val="22"/>
              </w:rPr>
              <w:t>2.</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711CCF67" w14:textId="77777777" w:rsidR="00E222DA" w:rsidRPr="001F5897" w:rsidRDefault="00E222DA" w:rsidP="00D21CC6">
            <w:pPr>
              <w:jc w:val="left"/>
              <w:rPr>
                <w:color w:val="000000"/>
              </w:rPr>
            </w:pPr>
            <w:r w:rsidRPr="001F5897">
              <w:rPr>
                <w:sz w:val="18"/>
                <w:szCs w:val="18"/>
              </w:rPr>
              <w:t>Section 199 Commencement of criminal prosecution</w:t>
            </w:r>
          </w:p>
        </w:tc>
        <w:tc>
          <w:tcPr>
            <w:tcW w:w="591" w:type="dxa"/>
            <w:tcBorders>
              <w:top w:val="nil"/>
              <w:left w:val="nil"/>
              <w:bottom w:val="single" w:sz="8" w:space="0" w:color="auto"/>
              <w:right w:val="single" w:sz="8" w:space="0" w:color="auto"/>
            </w:tcBorders>
            <w:shd w:val="clear" w:color="000000" w:fill="FBF9D9"/>
            <w:vAlign w:val="center"/>
            <w:hideMark/>
          </w:tcPr>
          <w:p w14:paraId="794D9D86" w14:textId="77777777" w:rsidR="00E222DA" w:rsidRPr="001F5897" w:rsidRDefault="00E222DA" w:rsidP="00D21CC6">
            <w:pPr>
              <w:jc w:val="center"/>
              <w:rPr>
                <w:b/>
                <w:bCs/>
                <w:color w:val="000000"/>
              </w:rPr>
            </w:pPr>
            <w:r w:rsidRPr="001F5897">
              <w:rPr>
                <w:b/>
                <w:bCs/>
                <w:color w:val="000000"/>
              </w:rPr>
              <w:t>97</w:t>
            </w:r>
          </w:p>
        </w:tc>
        <w:tc>
          <w:tcPr>
            <w:tcW w:w="579" w:type="dxa"/>
            <w:tcBorders>
              <w:top w:val="nil"/>
              <w:left w:val="nil"/>
              <w:bottom w:val="single" w:sz="8" w:space="0" w:color="auto"/>
              <w:right w:val="single" w:sz="8" w:space="0" w:color="auto"/>
            </w:tcBorders>
            <w:shd w:val="clear" w:color="000000" w:fill="FBF9D9"/>
            <w:vAlign w:val="center"/>
            <w:hideMark/>
          </w:tcPr>
          <w:p w14:paraId="31A1084E" w14:textId="77777777" w:rsidR="00E222DA" w:rsidRPr="001F5897" w:rsidRDefault="00E222DA" w:rsidP="00D21CC6">
            <w:pPr>
              <w:jc w:val="center"/>
              <w:rPr>
                <w:b/>
                <w:bCs/>
                <w:color w:val="000000"/>
              </w:rPr>
            </w:pPr>
            <w:r w:rsidRPr="001F5897">
              <w:rPr>
                <w:b/>
                <w:bCs/>
                <w:color w:val="000000"/>
              </w:rPr>
              <w:t>-</w:t>
            </w:r>
          </w:p>
        </w:tc>
        <w:tc>
          <w:tcPr>
            <w:tcW w:w="1040" w:type="dxa"/>
            <w:tcBorders>
              <w:top w:val="nil"/>
              <w:left w:val="nil"/>
              <w:bottom w:val="single" w:sz="8" w:space="0" w:color="auto"/>
              <w:right w:val="single" w:sz="8" w:space="0" w:color="auto"/>
            </w:tcBorders>
            <w:shd w:val="clear" w:color="000000" w:fill="FBF9D9"/>
            <w:vAlign w:val="center"/>
            <w:hideMark/>
          </w:tcPr>
          <w:p w14:paraId="09C85E19" w14:textId="77777777" w:rsidR="00E222DA" w:rsidRPr="001F5897" w:rsidRDefault="00E222DA" w:rsidP="00D21CC6">
            <w:pPr>
              <w:jc w:val="center"/>
              <w:rPr>
                <w:b/>
                <w:bCs/>
                <w:color w:val="000000"/>
              </w:rPr>
            </w:pPr>
            <w:r w:rsidRPr="001F5897">
              <w:rPr>
                <w:b/>
                <w:bCs/>
                <w:color w:val="000000"/>
              </w:rPr>
              <w:t>11.538.015</w:t>
            </w:r>
          </w:p>
        </w:tc>
        <w:tc>
          <w:tcPr>
            <w:tcW w:w="617" w:type="dxa"/>
            <w:tcBorders>
              <w:top w:val="nil"/>
              <w:left w:val="nil"/>
              <w:bottom w:val="single" w:sz="8" w:space="0" w:color="auto"/>
              <w:right w:val="single" w:sz="8" w:space="0" w:color="auto"/>
            </w:tcBorders>
            <w:shd w:val="clear" w:color="000000" w:fill="FBF9D9"/>
            <w:vAlign w:val="center"/>
            <w:hideMark/>
          </w:tcPr>
          <w:p w14:paraId="66CE9CAD" w14:textId="77777777" w:rsidR="00E222DA" w:rsidRPr="001F5897" w:rsidRDefault="00E222DA" w:rsidP="00D21CC6">
            <w:pPr>
              <w:jc w:val="center"/>
              <w:rPr>
                <w:b/>
                <w:bCs/>
                <w:color w:val="000000"/>
              </w:rPr>
            </w:pPr>
            <w:r w:rsidRPr="001F5897">
              <w:rPr>
                <w:b/>
                <w:bCs/>
                <w:color w:val="000000"/>
              </w:rPr>
              <w:t>81</w:t>
            </w:r>
          </w:p>
        </w:tc>
        <w:tc>
          <w:tcPr>
            <w:tcW w:w="579" w:type="dxa"/>
            <w:tcBorders>
              <w:top w:val="nil"/>
              <w:left w:val="nil"/>
              <w:bottom w:val="single" w:sz="8" w:space="0" w:color="auto"/>
              <w:right w:val="single" w:sz="8" w:space="0" w:color="auto"/>
            </w:tcBorders>
            <w:shd w:val="clear" w:color="000000" w:fill="FBF9D9"/>
            <w:vAlign w:val="center"/>
            <w:hideMark/>
          </w:tcPr>
          <w:p w14:paraId="1F5D9083" w14:textId="77777777" w:rsidR="00E222DA" w:rsidRPr="001F5897" w:rsidRDefault="00E222DA" w:rsidP="00D21CC6">
            <w:pPr>
              <w:jc w:val="center"/>
              <w:rPr>
                <w:color w:val="000000"/>
              </w:rPr>
            </w:pPr>
            <w:r w:rsidRPr="001F5897">
              <w:rPr>
                <w:color w:val="000000"/>
              </w:rPr>
              <w:t>-</w:t>
            </w:r>
          </w:p>
        </w:tc>
        <w:tc>
          <w:tcPr>
            <w:tcW w:w="1048" w:type="dxa"/>
            <w:tcBorders>
              <w:top w:val="nil"/>
              <w:left w:val="nil"/>
              <w:bottom w:val="single" w:sz="8" w:space="0" w:color="auto"/>
              <w:right w:val="single" w:sz="8" w:space="0" w:color="auto"/>
            </w:tcBorders>
            <w:shd w:val="clear" w:color="000000" w:fill="FBF9D9"/>
            <w:vAlign w:val="center"/>
            <w:hideMark/>
          </w:tcPr>
          <w:p w14:paraId="637DA823" w14:textId="77777777" w:rsidR="00E222DA" w:rsidRPr="001F5897" w:rsidRDefault="00E222DA" w:rsidP="00D21CC6">
            <w:pPr>
              <w:jc w:val="center"/>
              <w:rPr>
                <w:b/>
                <w:bCs/>
                <w:color w:val="000000"/>
              </w:rPr>
            </w:pPr>
            <w:r w:rsidRPr="001F5897">
              <w:rPr>
                <w:b/>
                <w:bCs/>
                <w:color w:val="000000"/>
              </w:rPr>
              <w:t>30.708.363</w:t>
            </w:r>
          </w:p>
        </w:tc>
        <w:tc>
          <w:tcPr>
            <w:tcW w:w="683" w:type="dxa"/>
            <w:tcBorders>
              <w:top w:val="nil"/>
              <w:left w:val="nil"/>
              <w:bottom w:val="single" w:sz="8" w:space="0" w:color="auto"/>
              <w:right w:val="single" w:sz="8" w:space="0" w:color="auto"/>
            </w:tcBorders>
            <w:shd w:val="clear" w:color="000000" w:fill="FBF9D9"/>
            <w:vAlign w:val="center"/>
            <w:hideMark/>
          </w:tcPr>
          <w:p w14:paraId="66A8298B" w14:textId="77777777" w:rsidR="00E222DA" w:rsidRPr="001F5897" w:rsidRDefault="00E222DA" w:rsidP="00D21CC6">
            <w:pPr>
              <w:jc w:val="center"/>
              <w:rPr>
                <w:color w:val="000000"/>
              </w:rPr>
            </w:pPr>
            <w:r w:rsidRPr="001F5897">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5C4EA9BD" w14:textId="77777777" w:rsidR="00E222DA" w:rsidRPr="001F5897" w:rsidRDefault="00E222DA" w:rsidP="00D21CC6">
            <w:pPr>
              <w:jc w:val="center"/>
              <w:rPr>
                <w:color w:val="000000"/>
              </w:rPr>
            </w:pPr>
            <w:r w:rsidRPr="001F5897">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50D2953F" w14:textId="77777777" w:rsidR="00E222DA" w:rsidRPr="001F5897" w:rsidRDefault="00E222DA" w:rsidP="00D21CC6">
            <w:pPr>
              <w:jc w:val="center"/>
              <w:rPr>
                <w:color w:val="000000"/>
              </w:rPr>
            </w:pPr>
            <w:r w:rsidRPr="001F5897">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39B466B5" w14:textId="77777777" w:rsidR="00E222DA" w:rsidRPr="001F5897" w:rsidRDefault="00E222DA" w:rsidP="00D21CC6">
            <w:pPr>
              <w:jc w:val="center"/>
              <w:rPr>
                <w:color w:val="000000"/>
              </w:rPr>
            </w:pPr>
            <w:r w:rsidRPr="001F5897">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58D4F8E8" w14:textId="77777777" w:rsidR="00E222DA" w:rsidRPr="001F5897" w:rsidRDefault="00E222DA" w:rsidP="00D21CC6">
            <w:pPr>
              <w:jc w:val="center"/>
              <w:rPr>
                <w:color w:val="000000"/>
              </w:rPr>
            </w:pPr>
            <w:r w:rsidRPr="001F5897">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7D5DBD3C" w14:textId="77777777" w:rsidR="00E222DA" w:rsidRPr="001F5897" w:rsidRDefault="00E222DA" w:rsidP="00D21CC6">
            <w:pPr>
              <w:jc w:val="center"/>
              <w:rPr>
                <w:color w:val="000000"/>
              </w:rPr>
            </w:pPr>
            <w:r w:rsidRPr="001F5897">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1031A8A7"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5C1FB9E6"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482BA557"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4D72CCF3" w14:textId="77777777" w:rsidR="00E222DA" w:rsidRPr="001F5897" w:rsidRDefault="00E222DA" w:rsidP="00D21CC6">
            <w:pPr>
              <w:jc w:val="center"/>
              <w:rPr>
                <w:color w:val="000000"/>
              </w:rPr>
            </w:pPr>
            <w:r w:rsidRPr="001F5897">
              <w:rPr>
                <w:color w:val="000000"/>
              </w:rPr>
              <w:t>-</w:t>
            </w:r>
          </w:p>
        </w:tc>
      </w:tr>
      <w:tr w:rsidR="00E222DA" w:rsidRPr="001F5897" w14:paraId="373633C5" w14:textId="77777777" w:rsidTr="00D21CC6">
        <w:trPr>
          <w:trHeight w:val="502"/>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13622752" w14:textId="77777777" w:rsidR="00E222DA" w:rsidRPr="001F5897" w:rsidRDefault="00E222DA" w:rsidP="00D21CC6">
            <w:pPr>
              <w:jc w:val="right"/>
              <w:rPr>
                <w:color w:val="000000"/>
                <w:sz w:val="22"/>
                <w:szCs w:val="22"/>
              </w:rPr>
            </w:pPr>
            <w:r w:rsidRPr="001F5897">
              <w:rPr>
                <w:color w:val="000000"/>
                <w:sz w:val="22"/>
                <w:szCs w:val="22"/>
              </w:rPr>
              <w:t>3.</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378B1D8D" w14:textId="77777777" w:rsidR="00E222DA" w:rsidRPr="001F5897" w:rsidRDefault="00E222DA" w:rsidP="00D21CC6">
            <w:pPr>
              <w:jc w:val="left"/>
              <w:rPr>
                <w:color w:val="000000"/>
              </w:rPr>
            </w:pPr>
            <w:r w:rsidRPr="001F5897">
              <w:rPr>
                <w:sz w:val="18"/>
                <w:szCs w:val="18"/>
              </w:rPr>
              <w:t>Section 206 File charges</w:t>
            </w:r>
          </w:p>
        </w:tc>
        <w:tc>
          <w:tcPr>
            <w:tcW w:w="591" w:type="dxa"/>
            <w:tcBorders>
              <w:top w:val="nil"/>
              <w:left w:val="nil"/>
              <w:bottom w:val="single" w:sz="8" w:space="0" w:color="auto"/>
              <w:right w:val="single" w:sz="8" w:space="0" w:color="auto"/>
            </w:tcBorders>
            <w:shd w:val="clear" w:color="000000" w:fill="FBF9D9"/>
            <w:vAlign w:val="center"/>
            <w:hideMark/>
          </w:tcPr>
          <w:p w14:paraId="6EF97CDE" w14:textId="77777777" w:rsidR="00E222DA" w:rsidRPr="001F5897" w:rsidRDefault="00E222DA" w:rsidP="00D21CC6">
            <w:pPr>
              <w:jc w:val="center"/>
              <w:rPr>
                <w:b/>
                <w:bCs/>
                <w:color w:val="000000"/>
              </w:rPr>
            </w:pPr>
            <w:r w:rsidRPr="001F5897">
              <w:rPr>
                <w:b/>
                <w:bCs/>
                <w:color w:val="000000"/>
              </w:rPr>
              <w:t>35</w:t>
            </w:r>
          </w:p>
        </w:tc>
        <w:tc>
          <w:tcPr>
            <w:tcW w:w="579" w:type="dxa"/>
            <w:tcBorders>
              <w:top w:val="nil"/>
              <w:left w:val="nil"/>
              <w:bottom w:val="single" w:sz="8" w:space="0" w:color="auto"/>
              <w:right w:val="single" w:sz="8" w:space="0" w:color="auto"/>
            </w:tcBorders>
            <w:shd w:val="clear" w:color="000000" w:fill="FBF9D9"/>
            <w:vAlign w:val="center"/>
            <w:hideMark/>
          </w:tcPr>
          <w:p w14:paraId="743837E6" w14:textId="77777777" w:rsidR="00E222DA" w:rsidRPr="001F5897" w:rsidRDefault="00E222DA" w:rsidP="00D21CC6">
            <w:pPr>
              <w:jc w:val="center"/>
              <w:rPr>
                <w:b/>
                <w:bCs/>
                <w:color w:val="000000"/>
              </w:rPr>
            </w:pPr>
            <w:r w:rsidRPr="001F5897">
              <w:rPr>
                <w:b/>
                <w:bCs/>
                <w:color w:val="000000"/>
              </w:rPr>
              <w:t>35</w:t>
            </w:r>
          </w:p>
        </w:tc>
        <w:tc>
          <w:tcPr>
            <w:tcW w:w="1040" w:type="dxa"/>
            <w:tcBorders>
              <w:top w:val="nil"/>
              <w:left w:val="nil"/>
              <w:bottom w:val="single" w:sz="8" w:space="0" w:color="auto"/>
              <w:right w:val="single" w:sz="8" w:space="0" w:color="auto"/>
            </w:tcBorders>
            <w:shd w:val="clear" w:color="000000" w:fill="FBF9D9"/>
            <w:vAlign w:val="center"/>
            <w:hideMark/>
          </w:tcPr>
          <w:p w14:paraId="2BC557EF" w14:textId="77777777" w:rsidR="00E222DA" w:rsidRPr="001F5897" w:rsidRDefault="00E222DA" w:rsidP="00D21CC6">
            <w:pPr>
              <w:jc w:val="center"/>
              <w:rPr>
                <w:b/>
                <w:bCs/>
                <w:color w:val="000000"/>
              </w:rPr>
            </w:pPr>
            <w:r w:rsidRPr="001F5897">
              <w:rPr>
                <w:b/>
                <w:bCs/>
                <w:color w:val="000000"/>
              </w:rPr>
              <w:t>816.656</w:t>
            </w:r>
          </w:p>
        </w:tc>
        <w:tc>
          <w:tcPr>
            <w:tcW w:w="617" w:type="dxa"/>
            <w:tcBorders>
              <w:top w:val="nil"/>
              <w:left w:val="nil"/>
              <w:bottom w:val="single" w:sz="8" w:space="0" w:color="auto"/>
              <w:right w:val="single" w:sz="8" w:space="0" w:color="auto"/>
            </w:tcBorders>
            <w:shd w:val="clear" w:color="000000" w:fill="FBF9D9"/>
            <w:vAlign w:val="center"/>
            <w:hideMark/>
          </w:tcPr>
          <w:p w14:paraId="4CCB3C86" w14:textId="77777777" w:rsidR="00E222DA" w:rsidRPr="001F5897" w:rsidRDefault="00E222DA" w:rsidP="00D21CC6">
            <w:pPr>
              <w:jc w:val="center"/>
              <w:rPr>
                <w:b/>
                <w:bCs/>
                <w:color w:val="000000"/>
              </w:rPr>
            </w:pPr>
            <w:r w:rsidRPr="001F5897">
              <w:rPr>
                <w:b/>
                <w:bCs/>
                <w:color w:val="000000"/>
              </w:rPr>
              <w:t>30</w:t>
            </w:r>
          </w:p>
        </w:tc>
        <w:tc>
          <w:tcPr>
            <w:tcW w:w="579" w:type="dxa"/>
            <w:tcBorders>
              <w:top w:val="nil"/>
              <w:left w:val="nil"/>
              <w:bottom w:val="single" w:sz="8" w:space="0" w:color="auto"/>
              <w:right w:val="single" w:sz="8" w:space="0" w:color="auto"/>
            </w:tcBorders>
            <w:shd w:val="clear" w:color="000000" w:fill="FBF9D9"/>
            <w:vAlign w:val="center"/>
            <w:hideMark/>
          </w:tcPr>
          <w:p w14:paraId="2BDDAC35" w14:textId="77777777" w:rsidR="00E222DA" w:rsidRPr="001F5897" w:rsidRDefault="00E222DA" w:rsidP="00D21CC6">
            <w:pPr>
              <w:jc w:val="center"/>
              <w:rPr>
                <w:b/>
                <w:bCs/>
                <w:color w:val="000000"/>
              </w:rPr>
            </w:pPr>
            <w:r w:rsidRPr="001F5897">
              <w:rPr>
                <w:b/>
                <w:bCs/>
                <w:color w:val="000000"/>
              </w:rPr>
              <w:t>48</w:t>
            </w:r>
          </w:p>
        </w:tc>
        <w:tc>
          <w:tcPr>
            <w:tcW w:w="1048" w:type="dxa"/>
            <w:tcBorders>
              <w:top w:val="nil"/>
              <w:left w:val="nil"/>
              <w:bottom w:val="single" w:sz="8" w:space="0" w:color="auto"/>
              <w:right w:val="single" w:sz="8" w:space="0" w:color="auto"/>
            </w:tcBorders>
            <w:shd w:val="clear" w:color="000000" w:fill="FBF9D9"/>
            <w:vAlign w:val="center"/>
            <w:hideMark/>
          </w:tcPr>
          <w:p w14:paraId="72244AB0" w14:textId="77777777" w:rsidR="00E222DA" w:rsidRPr="001F5897" w:rsidRDefault="00E222DA" w:rsidP="00D21CC6">
            <w:pPr>
              <w:jc w:val="center"/>
              <w:rPr>
                <w:b/>
                <w:bCs/>
                <w:color w:val="000000"/>
              </w:rPr>
            </w:pPr>
            <w:r w:rsidRPr="001F5897">
              <w:rPr>
                <w:b/>
                <w:bCs/>
                <w:color w:val="000000"/>
              </w:rPr>
              <w:t>10.658.606</w:t>
            </w:r>
          </w:p>
        </w:tc>
        <w:tc>
          <w:tcPr>
            <w:tcW w:w="683" w:type="dxa"/>
            <w:tcBorders>
              <w:top w:val="nil"/>
              <w:left w:val="nil"/>
              <w:bottom w:val="single" w:sz="8" w:space="0" w:color="auto"/>
              <w:right w:val="single" w:sz="8" w:space="0" w:color="auto"/>
            </w:tcBorders>
            <w:shd w:val="clear" w:color="000000" w:fill="FBF9D9"/>
            <w:vAlign w:val="center"/>
            <w:hideMark/>
          </w:tcPr>
          <w:p w14:paraId="75522F2E" w14:textId="77777777" w:rsidR="00E222DA" w:rsidRPr="001F5897" w:rsidRDefault="00E222DA" w:rsidP="00D21CC6">
            <w:pPr>
              <w:jc w:val="center"/>
              <w:rPr>
                <w:color w:val="000000"/>
              </w:rPr>
            </w:pPr>
            <w:r w:rsidRPr="001F5897">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6CE8F178" w14:textId="77777777" w:rsidR="00E222DA" w:rsidRPr="001F5897" w:rsidRDefault="00E222DA" w:rsidP="00D21CC6">
            <w:pPr>
              <w:jc w:val="center"/>
              <w:rPr>
                <w:color w:val="000000"/>
              </w:rPr>
            </w:pPr>
            <w:r w:rsidRPr="001F5897">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3F8468E1" w14:textId="77777777" w:rsidR="00E222DA" w:rsidRPr="001F5897" w:rsidRDefault="00E222DA" w:rsidP="00D21CC6">
            <w:pPr>
              <w:jc w:val="center"/>
              <w:rPr>
                <w:color w:val="000000"/>
              </w:rPr>
            </w:pPr>
            <w:r w:rsidRPr="001F5897">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55B842F3" w14:textId="77777777" w:rsidR="00E222DA" w:rsidRPr="001F5897" w:rsidRDefault="00E222DA" w:rsidP="00D21CC6">
            <w:pPr>
              <w:jc w:val="center"/>
              <w:rPr>
                <w:color w:val="000000"/>
              </w:rPr>
            </w:pPr>
            <w:r w:rsidRPr="001F5897">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18ED3B7F" w14:textId="77777777" w:rsidR="00E222DA" w:rsidRPr="001F5897" w:rsidRDefault="00E222DA" w:rsidP="00D21CC6">
            <w:pPr>
              <w:jc w:val="center"/>
              <w:rPr>
                <w:color w:val="000000"/>
              </w:rPr>
            </w:pPr>
            <w:r w:rsidRPr="001F5897">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60103B18" w14:textId="77777777" w:rsidR="00E222DA" w:rsidRPr="001F5897" w:rsidRDefault="00E222DA" w:rsidP="00D21CC6">
            <w:pPr>
              <w:jc w:val="center"/>
              <w:rPr>
                <w:color w:val="000000"/>
              </w:rPr>
            </w:pPr>
            <w:r w:rsidRPr="001F5897">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69B7FE41"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52A1EB17"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28C4A547"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1B05590E" w14:textId="77777777" w:rsidR="00E222DA" w:rsidRPr="001F5897" w:rsidRDefault="00E222DA" w:rsidP="00D21CC6">
            <w:pPr>
              <w:jc w:val="center"/>
              <w:rPr>
                <w:color w:val="000000"/>
              </w:rPr>
            </w:pPr>
            <w:r w:rsidRPr="001F5897">
              <w:rPr>
                <w:color w:val="000000"/>
              </w:rPr>
              <w:t>-</w:t>
            </w:r>
          </w:p>
        </w:tc>
      </w:tr>
      <w:tr w:rsidR="00E222DA" w:rsidRPr="001F5897" w14:paraId="2DE0CB95" w14:textId="77777777" w:rsidTr="00D21CC6">
        <w:trPr>
          <w:trHeight w:val="1005"/>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356CE38F" w14:textId="77777777" w:rsidR="00E222DA" w:rsidRPr="001F5897" w:rsidRDefault="00E222DA" w:rsidP="00D21CC6">
            <w:pPr>
              <w:jc w:val="right"/>
              <w:rPr>
                <w:color w:val="000000"/>
                <w:sz w:val="22"/>
                <w:szCs w:val="22"/>
              </w:rPr>
            </w:pPr>
            <w:r w:rsidRPr="001F5897">
              <w:rPr>
                <w:color w:val="000000"/>
                <w:sz w:val="22"/>
                <w:szCs w:val="22"/>
              </w:rPr>
              <w:t>4.</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2D62BA5E" w14:textId="77777777" w:rsidR="00E222DA" w:rsidRPr="001F5897" w:rsidRDefault="00E222DA" w:rsidP="00D21CC6">
            <w:pPr>
              <w:jc w:val="left"/>
              <w:rPr>
                <w:color w:val="000000"/>
              </w:rPr>
            </w:pPr>
            <w:r w:rsidRPr="001F5897">
              <w:rPr>
                <w:sz w:val="18"/>
                <w:szCs w:val="18"/>
              </w:rPr>
              <w:t>Section 209 Completion of investigation and of summary investigation with the proposal to charge</w:t>
            </w:r>
          </w:p>
        </w:tc>
        <w:tc>
          <w:tcPr>
            <w:tcW w:w="591" w:type="dxa"/>
            <w:tcBorders>
              <w:top w:val="nil"/>
              <w:left w:val="nil"/>
              <w:bottom w:val="single" w:sz="8" w:space="0" w:color="auto"/>
              <w:right w:val="single" w:sz="8" w:space="0" w:color="auto"/>
            </w:tcBorders>
            <w:shd w:val="clear" w:color="000000" w:fill="FBF9D9"/>
            <w:vAlign w:val="center"/>
            <w:hideMark/>
          </w:tcPr>
          <w:p w14:paraId="3F9484AF" w14:textId="77777777" w:rsidR="00E222DA" w:rsidRPr="001F5897" w:rsidRDefault="00E222DA" w:rsidP="00D21CC6">
            <w:pPr>
              <w:jc w:val="center"/>
              <w:rPr>
                <w:b/>
                <w:bCs/>
                <w:color w:val="000000"/>
              </w:rPr>
            </w:pPr>
            <w:r w:rsidRPr="001F5897">
              <w:rPr>
                <w:b/>
                <w:bCs/>
                <w:color w:val="000000"/>
              </w:rPr>
              <w:t>17</w:t>
            </w:r>
          </w:p>
        </w:tc>
        <w:tc>
          <w:tcPr>
            <w:tcW w:w="579" w:type="dxa"/>
            <w:tcBorders>
              <w:top w:val="nil"/>
              <w:left w:val="nil"/>
              <w:bottom w:val="single" w:sz="8" w:space="0" w:color="auto"/>
              <w:right w:val="single" w:sz="8" w:space="0" w:color="auto"/>
            </w:tcBorders>
            <w:shd w:val="clear" w:color="000000" w:fill="FBF9D9"/>
            <w:vAlign w:val="center"/>
            <w:hideMark/>
          </w:tcPr>
          <w:p w14:paraId="3FB313ED" w14:textId="77777777" w:rsidR="00E222DA" w:rsidRPr="001F5897" w:rsidRDefault="00E222DA" w:rsidP="00D21CC6">
            <w:pPr>
              <w:jc w:val="center"/>
              <w:rPr>
                <w:b/>
                <w:bCs/>
                <w:color w:val="000000"/>
              </w:rPr>
            </w:pPr>
            <w:r w:rsidRPr="001F5897">
              <w:rPr>
                <w:b/>
                <w:bCs/>
                <w:color w:val="000000"/>
              </w:rPr>
              <w:t>32</w:t>
            </w:r>
          </w:p>
        </w:tc>
        <w:tc>
          <w:tcPr>
            <w:tcW w:w="1040" w:type="dxa"/>
            <w:tcBorders>
              <w:top w:val="nil"/>
              <w:left w:val="nil"/>
              <w:bottom w:val="single" w:sz="8" w:space="0" w:color="auto"/>
              <w:right w:val="single" w:sz="8" w:space="0" w:color="auto"/>
            </w:tcBorders>
            <w:shd w:val="clear" w:color="000000" w:fill="FBF9D9"/>
            <w:vAlign w:val="center"/>
            <w:hideMark/>
          </w:tcPr>
          <w:p w14:paraId="54104995" w14:textId="77777777" w:rsidR="00E222DA" w:rsidRPr="001F5897" w:rsidRDefault="00E222DA" w:rsidP="00D21CC6">
            <w:pPr>
              <w:jc w:val="center"/>
              <w:rPr>
                <w:b/>
                <w:bCs/>
                <w:color w:val="000000"/>
              </w:rPr>
            </w:pPr>
            <w:r w:rsidRPr="001F5897">
              <w:rPr>
                <w:b/>
                <w:bCs/>
                <w:color w:val="000000"/>
              </w:rPr>
              <w:t>3.047.526</w:t>
            </w:r>
          </w:p>
        </w:tc>
        <w:tc>
          <w:tcPr>
            <w:tcW w:w="617" w:type="dxa"/>
            <w:tcBorders>
              <w:top w:val="nil"/>
              <w:left w:val="nil"/>
              <w:bottom w:val="single" w:sz="8" w:space="0" w:color="auto"/>
              <w:right w:val="single" w:sz="8" w:space="0" w:color="auto"/>
            </w:tcBorders>
            <w:shd w:val="clear" w:color="000000" w:fill="FBF9D9"/>
            <w:vAlign w:val="center"/>
            <w:hideMark/>
          </w:tcPr>
          <w:p w14:paraId="0FE3B4D8" w14:textId="77777777" w:rsidR="00E222DA" w:rsidRPr="001F5897" w:rsidRDefault="00E222DA" w:rsidP="00D21CC6">
            <w:pPr>
              <w:jc w:val="center"/>
              <w:rPr>
                <w:b/>
                <w:bCs/>
                <w:color w:val="000000"/>
              </w:rPr>
            </w:pPr>
            <w:r w:rsidRPr="001F5897">
              <w:rPr>
                <w:b/>
                <w:bCs/>
                <w:color w:val="000000"/>
              </w:rPr>
              <w:t>19</w:t>
            </w:r>
          </w:p>
        </w:tc>
        <w:tc>
          <w:tcPr>
            <w:tcW w:w="579" w:type="dxa"/>
            <w:tcBorders>
              <w:top w:val="nil"/>
              <w:left w:val="nil"/>
              <w:bottom w:val="single" w:sz="8" w:space="0" w:color="auto"/>
              <w:right w:val="single" w:sz="8" w:space="0" w:color="auto"/>
            </w:tcBorders>
            <w:shd w:val="clear" w:color="000000" w:fill="FBF9D9"/>
            <w:vAlign w:val="center"/>
            <w:hideMark/>
          </w:tcPr>
          <w:p w14:paraId="2D9D8289" w14:textId="77777777" w:rsidR="00E222DA" w:rsidRPr="001F5897" w:rsidRDefault="00E222DA" w:rsidP="00D21CC6">
            <w:pPr>
              <w:jc w:val="center"/>
              <w:rPr>
                <w:b/>
                <w:bCs/>
                <w:color w:val="000000"/>
              </w:rPr>
            </w:pPr>
            <w:r w:rsidRPr="001F5897">
              <w:rPr>
                <w:b/>
                <w:bCs/>
                <w:color w:val="000000"/>
              </w:rPr>
              <w:t>22</w:t>
            </w:r>
          </w:p>
        </w:tc>
        <w:tc>
          <w:tcPr>
            <w:tcW w:w="1048" w:type="dxa"/>
            <w:tcBorders>
              <w:top w:val="nil"/>
              <w:left w:val="nil"/>
              <w:bottom w:val="single" w:sz="8" w:space="0" w:color="auto"/>
              <w:right w:val="single" w:sz="8" w:space="0" w:color="auto"/>
            </w:tcBorders>
            <w:shd w:val="clear" w:color="000000" w:fill="FBF9D9"/>
            <w:vAlign w:val="center"/>
            <w:hideMark/>
          </w:tcPr>
          <w:p w14:paraId="0EA580DD" w14:textId="77777777" w:rsidR="00E222DA" w:rsidRPr="001F5897" w:rsidRDefault="00E222DA" w:rsidP="00D21CC6">
            <w:pPr>
              <w:jc w:val="center"/>
              <w:rPr>
                <w:b/>
                <w:bCs/>
                <w:color w:val="000000"/>
              </w:rPr>
            </w:pPr>
            <w:r w:rsidRPr="001F5897">
              <w:rPr>
                <w:b/>
                <w:bCs/>
                <w:color w:val="000000"/>
              </w:rPr>
              <w:t>1.690.113</w:t>
            </w:r>
          </w:p>
        </w:tc>
        <w:tc>
          <w:tcPr>
            <w:tcW w:w="683" w:type="dxa"/>
            <w:tcBorders>
              <w:top w:val="nil"/>
              <w:left w:val="nil"/>
              <w:bottom w:val="single" w:sz="8" w:space="0" w:color="auto"/>
              <w:right w:val="single" w:sz="8" w:space="0" w:color="auto"/>
            </w:tcBorders>
            <w:shd w:val="clear" w:color="000000" w:fill="FBF9D9"/>
            <w:vAlign w:val="center"/>
            <w:hideMark/>
          </w:tcPr>
          <w:p w14:paraId="7E4D4F82" w14:textId="77777777" w:rsidR="00E222DA" w:rsidRPr="001F5897" w:rsidRDefault="00E222DA" w:rsidP="00D21CC6">
            <w:pPr>
              <w:jc w:val="center"/>
              <w:rPr>
                <w:color w:val="000000"/>
              </w:rPr>
            </w:pPr>
            <w:r w:rsidRPr="001F5897">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76F03B63" w14:textId="77777777" w:rsidR="00E222DA" w:rsidRPr="001F5897" w:rsidRDefault="00E222DA" w:rsidP="00D21CC6">
            <w:pPr>
              <w:jc w:val="center"/>
              <w:rPr>
                <w:color w:val="000000"/>
              </w:rPr>
            </w:pPr>
            <w:r w:rsidRPr="001F5897">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79234D42" w14:textId="77777777" w:rsidR="00E222DA" w:rsidRPr="001F5897" w:rsidRDefault="00E222DA" w:rsidP="00D21CC6">
            <w:pPr>
              <w:jc w:val="center"/>
              <w:rPr>
                <w:color w:val="000000"/>
              </w:rPr>
            </w:pPr>
            <w:r w:rsidRPr="001F5897">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5A57C666" w14:textId="77777777" w:rsidR="00E222DA" w:rsidRPr="001F5897" w:rsidRDefault="00E222DA" w:rsidP="00D21CC6">
            <w:pPr>
              <w:jc w:val="center"/>
              <w:rPr>
                <w:color w:val="000000"/>
              </w:rPr>
            </w:pPr>
            <w:r w:rsidRPr="001F5897">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746326C5" w14:textId="77777777" w:rsidR="00E222DA" w:rsidRPr="001F5897" w:rsidRDefault="00E222DA" w:rsidP="00D21CC6">
            <w:pPr>
              <w:jc w:val="center"/>
              <w:rPr>
                <w:color w:val="000000"/>
              </w:rPr>
            </w:pPr>
            <w:r w:rsidRPr="001F5897">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1AD34D1A" w14:textId="77777777" w:rsidR="00E222DA" w:rsidRPr="001F5897" w:rsidRDefault="00E222DA" w:rsidP="00D21CC6">
            <w:pPr>
              <w:ind w:hanging="1181"/>
              <w:jc w:val="center"/>
              <w:rPr>
                <w:color w:val="000000"/>
              </w:rPr>
            </w:pPr>
            <w:r w:rsidRPr="001F5897">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3741A9C0"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6D19F347"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1796E468"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12C515C4" w14:textId="77777777" w:rsidR="00E222DA" w:rsidRPr="001F5897" w:rsidRDefault="00E222DA" w:rsidP="00D21CC6">
            <w:pPr>
              <w:jc w:val="center"/>
              <w:rPr>
                <w:color w:val="000000"/>
              </w:rPr>
            </w:pPr>
            <w:r w:rsidRPr="001F5897">
              <w:rPr>
                <w:color w:val="000000"/>
              </w:rPr>
              <w:t>-</w:t>
            </w:r>
          </w:p>
        </w:tc>
      </w:tr>
      <w:tr w:rsidR="00E222DA" w:rsidRPr="001F5897" w14:paraId="2E15870E" w14:textId="77777777" w:rsidTr="00D21CC6">
        <w:trPr>
          <w:trHeight w:val="502"/>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23EEE2A1" w14:textId="77777777" w:rsidR="00E222DA" w:rsidRPr="001F5897" w:rsidRDefault="00E222DA" w:rsidP="00D21CC6">
            <w:pPr>
              <w:jc w:val="right"/>
              <w:rPr>
                <w:color w:val="000000"/>
                <w:sz w:val="22"/>
                <w:szCs w:val="22"/>
              </w:rPr>
            </w:pPr>
            <w:r w:rsidRPr="001F5897">
              <w:rPr>
                <w:color w:val="000000"/>
                <w:sz w:val="22"/>
                <w:szCs w:val="22"/>
              </w:rPr>
              <w:t>5.</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1E79099D" w14:textId="77777777" w:rsidR="00E222DA" w:rsidRPr="001F5897" w:rsidRDefault="00E222DA" w:rsidP="00D21CC6">
            <w:pPr>
              <w:jc w:val="left"/>
              <w:rPr>
                <w:color w:val="000000"/>
              </w:rPr>
            </w:pPr>
            <w:r w:rsidRPr="001F5897">
              <w:rPr>
                <w:sz w:val="18"/>
                <w:szCs w:val="18"/>
              </w:rPr>
              <w:t>Section 215 Stay of criminal prosecution</w:t>
            </w:r>
          </w:p>
        </w:tc>
        <w:tc>
          <w:tcPr>
            <w:tcW w:w="591" w:type="dxa"/>
            <w:tcBorders>
              <w:top w:val="nil"/>
              <w:left w:val="nil"/>
              <w:bottom w:val="single" w:sz="8" w:space="0" w:color="auto"/>
              <w:right w:val="single" w:sz="8" w:space="0" w:color="auto"/>
            </w:tcBorders>
            <w:shd w:val="clear" w:color="000000" w:fill="FBF9D9"/>
            <w:vAlign w:val="center"/>
            <w:hideMark/>
          </w:tcPr>
          <w:p w14:paraId="24729EAF" w14:textId="77777777" w:rsidR="00E222DA" w:rsidRPr="001F5897" w:rsidRDefault="00E222DA" w:rsidP="00D21CC6">
            <w:pPr>
              <w:jc w:val="center"/>
              <w:rPr>
                <w:b/>
                <w:bCs/>
                <w:color w:val="000000"/>
              </w:rPr>
            </w:pPr>
            <w:r w:rsidRPr="001F5897">
              <w:rPr>
                <w:b/>
                <w:bCs/>
                <w:color w:val="000000"/>
              </w:rPr>
              <w:t>8</w:t>
            </w:r>
          </w:p>
        </w:tc>
        <w:tc>
          <w:tcPr>
            <w:tcW w:w="579" w:type="dxa"/>
            <w:tcBorders>
              <w:top w:val="nil"/>
              <w:left w:val="nil"/>
              <w:bottom w:val="single" w:sz="8" w:space="0" w:color="auto"/>
              <w:right w:val="single" w:sz="8" w:space="0" w:color="auto"/>
            </w:tcBorders>
            <w:shd w:val="clear" w:color="000000" w:fill="FBF9D9"/>
            <w:vAlign w:val="center"/>
            <w:hideMark/>
          </w:tcPr>
          <w:p w14:paraId="5C3E6076" w14:textId="77777777" w:rsidR="00E222DA" w:rsidRPr="001F5897" w:rsidRDefault="00E222DA" w:rsidP="00D21CC6">
            <w:pPr>
              <w:jc w:val="center"/>
              <w:rPr>
                <w:b/>
                <w:bCs/>
                <w:color w:val="000000"/>
              </w:rPr>
            </w:pPr>
            <w:r w:rsidRPr="001F5897">
              <w:rPr>
                <w:b/>
                <w:bCs/>
                <w:color w:val="000000"/>
              </w:rPr>
              <w:t>2</w:t>
            </w:r>
          </w:p>
        </w:tc>
        <w:tc>
          <w:tcPr>
            <w:tcW w:w="1040" w:type="dxa"/>
            <w:tcBorders>
              <w:top w:val="nil"/>
              <w:left w:val="nil"/>
              <w:bottom w:val="single" w:sz="8" w:space="0" w:color="auto"/>
              <w:right w:val="single" w:sz="8" w:space="0" w:color="auto"/>
            </w:tcBorders>
            <w:shd w:val="clear" w:color="000000" w:fill="FBF9D9"/>
            <w:vAlign w:val="center"/>
            <w:hideMark/>
          </w:tcPr>
          <w:p w14:paraId="6007743E" w14:textId="77777777" w:rsidR="00E222DA" w:rsidRPr="001F5897" w:rsidRDefault="00E222DA" w:rsidP="00D21CC6">
            <w:pPr>
              <w:jc w:val="center"/>
              <w:rPr>
                <w:b/>
                <w:bCs/>
                <w:color w:val="000000"/>
              </w:rPr>
            </w:pPr>
            <w:r w:rsidRPr="001F5897">
              <w:rPr>
                <w:b/>
                <w:bCs/>
                <w:color w:val="000000"/>
              </w:rPr>
              <w:t>26.604</w:t>
            </w:r>
          </w:p>
        </w:tc>
        <w:tc>
          <w:tcPr>
            <w:tcW w:w="617" w:type="dxa"/>
            <w:tcBorders>
              <w:top w:val="nil"/>
              <w:left w:val="nil"/>
              <w:bottom w:val="single" w:sz="8" w:space="0" w:color="auto"/>
              <w:right w:val="single" w:sz="8" w:space="0" w:color="auto"/>
            </w:tcBorders>
            <w:shd w:val="clear" w:color="000000" w:fill="FBF9D9"/>
            <w:vAlign w:val="center"/>
            <w:hideMark/>
          </w:tcPr>
          <w:p w14:paraId="19036583" w14:textId="77777777" w:rsidR="00E222DA" w:rsidRPr="001F5897" w:rsidRDefault="00E222DA" w:rsidP="00D21CC6">
            <w:pPr>
              <w:jc w:val="center"/>
              <w:rPr>
                <w:b/>
                <w:bCs/>
                <w:color w:val="000000"/>
              </w:rPr>
            </w:pPr>
            <w:r w:rsidRPr="001F5897">
              <w:rPr>
                <w:b/>
                <w:bCs/>
                <w:color w:val="000000"/>
              </w:rPr>
              <w:t>3</w:t>
            </w:r>
          </w:p>
        </w:tc>
        <w:tc>
          <w:tcPr>
            <w:tcW w:w="579" w:type="dxa"/>
            <w:tcBorders>
              <w:top w:val="nil"/>
              <w:left w:val="nil"/>
              <w:bottom w:val="single" w:sz="8" w:space="0" w:color="auto"/>
              <w:right w:val="single" w:sz="8" w:space="0" w:color="auto"/>
            </w:tcBorders>
            <w:shd w:val="clear" w:color="000000" w:fill="FBF9D9"/>
            <w:vAlign w:val="center"/>
            <w:hideMark/>
          </w:tcPr>
          <w:p w14:paraId="325A1727" w14:textId="77777777" w:rsidR="00E222DA" w:rsidRPr="001F5897" w:rsidRDefault="00E222DA" w:rsidP="00D21CC6">
            <w:pPr>
              <w:jc w:val="center"/>
              <w:rPr>
                <w:b/>
                <w:bCs/>
                <w:color w:val="000000"/>
              </w:rPr>
            </w:pPr>
            <w:r w:rsidRPr="001F5897">
              <w:rPr>
                <w:b/>
                <w:bCs/>
                <w:color w:val="000000"/>
              </w:rPr>
              <w:t>3</w:t>
            </w:r>
          </w:p>
        </w:tc>
        <w:tc>
          <w:tcPr>
            <w:tcW w:w="1048" w:type="dxa"/>
            <w:tcBorders>
              <w:top w:val="nil"/>
              <w:left w:val="nil"/>
              <w:bottom w:val="single" w:sz="8" w:space="0" w:color="auto"/>
              <w:right w:val="single" w:sz="8" w:space="0" w:color="auto"/>
            </w:tcBorders>
            <w:shd w:val="clear" w:color="000000" w:fill="FBF9D9"/>
            <w:vAlign w:val="center"/>
            <w:hideMark/>
          </w:tcPr>
          <w:p w14:paraId="4536EE5D" w14:textId="77777777" w:rsidR="00E222DA" w:rsidRPr="001F5897" w:rsidRDefault="00E222DA" w:rsidP="00D21CC6">
            <w:pPr>
              <w:jc w:val="center"/>
              <w:rPr>
                <w:b/>
                <w:bCs/>
                <w:color w:val="000000"/>
              </w:rPr>
            </w:pPr>
            <w:r w:rsidRPr="001F5897">
              <w:rPr>
                <w:b/>
                <w:bCs/>
                <w:color w:val="000000"/>
              </w:rPr>
              <w:t>8.011.851</w:t>
            </w:r>
          </w:p>
        </w:tc>
        <w:tc>
          <w:tcPr>
            <w:tcW w:w="683" w:type="dxa"/>
            <w:tcBorders>
              <w:top w:val="nil"/>
              <w:left w:val="nil"/>
              <w:bottom w:val="single" w:sz="8" w:space="0" w:color="auto"/>
              <w:right w:val="single" w:sz="8" w:space="0" w:color="auto"/>
            </w:tcBorders>
            <w:shd w:val="clear" w:color="000000" w:fill="FBF9D9"/>
            <w:vAlign w:val="center"/>
            <w:hideMark/>
          </w:tcPr>
          <w:p w14:paraId="67632C4A" w14:textId="77777777" w:rsidR="00E222DA" w:rsidRPr="001F5897" w:rsidRDefault="00E222DA" w:rsidP="00D21CC6">
            <w:pPr>
              <w:jc w:val="center"/>
              <w:rPr>
                <w:color w:val="000000"/>
              </w:rPr>
            </w:pPr>
            <w:r w:rsidRPr="001F5897">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62A71029" w14:textId="77777777" w:rsidR="00E222DA" w:rsidRPr="001F5897" w:rsidRDefault="00E222DA" w:rsidP="00D21CC6">
            <w:pPr>
              <w:jc w:val="center"/>
              <w:rPr>
                <w:color w:val="000000"/>
              </w:rPr>
            </w:pPr>
            <w:r w:rsidRPr="001F5897">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3E23E9B5" w14:textId="77777777" w:rsidR="00E222DA" w:rsidRPr="001F5897" w:rsidRDefault="00E222DA" w:rsidP="00D21CC6">
            <w:pPr>
              <w:jc w:val="center"/>
              <w:rPr>
                <w:color w:val="000000"/>
              </w:rPr>
            </w:pPr>
            <w:r w:rsidRPr="001F5897">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02C9A56A" w14:textId="77777777" w:rsidR="00E222DA" w:rsidRPr="001F5897" w:rsidRDefault="00E222DA" w:rsidP="00D21CC6">
            <w:pPr>
              <w:jc w:val="center"/>
              <w:rPr>
                <w:color w:val="000000"/>
              </w:rPr>
            </w:pPr>
            <w:r w:rsidRPr="001F5897">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0CDB9320" w14:textId="77777777" w:rsidR="00E222DA" w:rsidRPr="001F5897" w:rsidRDefault="00E222DA" w:rsidP="00D21CC6">
            <w:pPr>
              <w:jc w:val="center"/>
              <w:rPr>
                <w:color w:val="000000"/>
              </w:rPr>
            </w:pPr>
            <w:r w:rsidRPr="001F5897">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5EA7EE45" w14:textId="77777777" w:rsidR="00E222DA" w:rsidRPr="001F5897" w:rsidRDefault="00E222DA" w:rsidP="00D21CC6">
            <w:pPr>
              <w:jc w:val="center"/>
              <w:rPr>
                <w:color w:val="000000"/>
              </w:rPr>
            </w:pPr>
            <w:r w:rsidRPr="001F5897">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6B6CAE03"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435C9BA8"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52CC4B88"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027A6F89" w14:textId="77777777" w:rsidR="00E222DA" w:rsidRPr="001F5897" w:rsidRDefault="00E222DA" w:rsidP="00D21CC6">
            <w:pPr>
              <w:jc w:val="center"/>
              <w:rPr>
                <w:color w:val="000000"/>
              </w:rPr>
            </w:pPr>
            <w:r w:rsidRPr="001F5897">
              <w:rPr>
                <w:color w:val="000000"/>
              </w:rPr>
              <w:t>-</w:t>
            </w:r>
          </w:p>
        </w:tc>
      </w:tr>
      <w:tr w:rsidR="00E222DA" w:rsidRPr="001F5897" w14:paraId="47B9C624" w14:textId="77777777" w:rsidTr="00D21CC6">
        <w:trPr>
          <w:trHeight w:val="753"/>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0AEAE4FB" w14:textId="77777777" w:rsidR="00E222DA" w:rsidRPr="001F5897" w:rsidRDefault="00E222DA" w:rsidP="00D21CC6">
            <w:pPr>
              <w:jc w:val="right"/>
              <w:rPr>
                <w:color w:val="000000"/>
                <w:sz w:val="22"/>
                <w:szCs w:val="22"/>
              </w:rPr>
            </w:pPr>
            <w:r w:rsidRPr="001F5897">
              <w:rPr>
                <w:color w:val="000000"/>
                <w:sz w:val="22"/>
                <w:szCs w:val="22"/>
              </w:rPr>
              <w:t>6.</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705F20D6" w14:textId="77777777" w:rsidR="00E222DA" w:rsidRPr="001F5897" w:rsidRDefault="00E222DA" w:rsidP="00D21CC6">
            <w:pPr>
              <w:jc w:val="left"/>
              <w:rPr>
                <w:color w:val="000000"/>
                <w:sz w:val="18"/>
                <w:szCs w:val="18"/>
              </w:rPr>
            </w:pPr>
            <w:r w:rsidRPr="001F5897">
              <w:rPr>
                <w:sz w:val="18"/>
                <w:szCs w:val="18"/>
              </w:rPr>
              <w:t>Section</w:t>
            </w:r>
            <w:r w:rsidRPr="001F5897">
              <w:rPr>
                <w:color w:val="000000"/>
                <w:sz w:val="18"/>
                <w:szCs w:val="18"/>
              </w:rPr>
              <w:t xml:space="preserve"> 228 (1), (2) </w:t>
            </w:r>
            <w:r w:rsidRPr="001F5897">
              <w:rPr>
                <w:bCs/>
                <w:sz w:val="18"/>
                <w:szCs w:val="18"/>
              </w:rPr>
              <w:t>Suspension of criminal prosecution</w:t>
            </w:r>
          </w:p>
        </w:tc>
        <w:tc>
          <w:tcPr>
            <w:tcW w:w="591" w:type="dxa"/>
            <w:tcBorders>
              <w:top w:val="nil"/>
              <w:left w:val="nil"/>
              <w:bottom w:val="single" w:sz="8" w:space="0" w:color="auto"/>
              <w:right w:val="single" w:sz="8" w:space="0" w:color="auto"/>
            </w:tcBorders>
            <w:shd w:val="clear" w:color="000000" w:fill="FBF9D9"/>
            <w:vAlign w:val="center"/>
            <w:hideMark/>
          </w:tcPr>
          <w:p w14:paraId="0C7B9FAA" w14:textId="77777777" w:rsidR="00E222DA" w:rsidRPr="001F5897" w:rsidRDefault="00E222DA" w:rsidP="00D21CC6">
            <w:pPr>
              <w:jc w:val="center"/>
              <w:rPr>
                <w:b/>
                <w:bCs/>
                <w:color w:val="000000"/>
              </w:rPr>
            </w:pPr>
            <w:r w:rsidRPr="001F5897">
              <w:rPr>
                <w:b/>
                <w:bCs/>
                <w:color w:val="000000"/>
              </w:rPr>
              <w:t>47</w:t>
            </w:r>
          </w:p>
        </w:tc>
        <w:tc>
          <w:tcPr>
            <w:tcW w:w="579" w:type="dxa"/>
            <w:tcBorders>
              <w:top w:val="nil"/>
              <w:left w:val="nil"/>
              <w:bottom w:val="single" w:sz="8" w:space="0" w:color="auto"/>
              <w:right w:val="single" w:sz="8" w:space="0" w:color="auto"/>
            </w:tcBorders>
            <w:shd w:val="clear" w:color="000000" w:fill="FBF9D9"/>
            <w:vAlign w:val="center"/>
            <w:hideMark/>
          </w:tcPr>
          <w:p w14:paraId="7DA90237" w14:textId="77777777" w:rsidR="00E222DA" w:rsidRPr="001F5897" w:rsidRDefault="00E222DA" w:rsidP="00D21CC6">
            <w:pPr>
              <w:jc w:val="center"/>
              <w:rPr>
                <w:b/>
                <w:bCs/>
                <w:color w:val="000000"/>
              </w:rPr>
            </w:pPr>
            <w:r w:rsidRPr="001F5897">
              <w:rPr>
                <w:b/>
                <w:bCs/>
                <w:color w:val="000000"/>
              </w:rPr>
              <w:t>11</w:t>
            </w:r>
          </w:p>
        </w:tc>
        <w:tc>
          <w:tcPr>
            <w:tcW w:w="1040" w:type="dxa"/>
            <w:tcBorders>
              <w:top w:val="nil"/>
              <w:left w:val="nil"/>
              <w:bottom w:val="single" w:sz="8" w:space="0" w:color="auto"/>
              <w:right w:val="single" w:sz="8" w:space="0" w:color="auto"/>
            </w:tcBorders>
            <w:shd w:val="clear" w:color="000000" w:fill="FBF9D9"/>
            <w:vAlign w:val="center"/>
            <w:hideMark/>
          </w:tcPr>
          <w:p w14:paraId="57C6E06E" w14:textId="77777777" w:rsidR="00E222DA" w:rsidRPr="001F5897" w:rsidRDefault="00E222DA" w:rsidP="00D21CC6">
            <w:pPr>
              <w:jc w:val="center"/>
              <w:rPr>
                <w:b/>
                <w:bCs/>
                <w:color w:val="000000"/>
              </w:rPr>
            </w:pPr>
            <w:r w:rsidRPr="001F5897">
              <w:rPr>
                <w:b/>
                <w:bCs/>
                <w:color w:val="000000"/>
              </w:rPr>
              <w:t>914.594</w:t>
            </w:r>
          </w:p>
        </w:tc>
        <w:tc>
          <w:tcPr>
            <w:tcW w:w="617" w:type="dxa"/>
            <w:tcBorders>
              <w:top w:val="nil"/>
              <w:left w:val="nil"/>
              <w:bottom w:val="single" w:sz="8" w:space="0" w:color="auto"/>
              <w:right w:val="single" w:sz="8" w:space="0" w:color="auto"/>
            </w:tcBorders>
            <w:shd w:val="clear" w:color="000000" w:fill="FBF9D9"/>
            <w:vAlign w:val="center"/>
            <w:hideMark/>
          </w:tcPr>
          <w:p w14:paraId="039CBDBF" w14:textId="77777777" w:rsidR="00E222DA" w:rsidRPr="001F5897" w:rsidRDefault="00E222DA" w:rsidP="00D21CC6">
            <w:pPr>
              <w:jc w:val="center"/>
              <w:rPr>
                <w:b/>
                <w:bCs/>
                <w:color w:val="000000"/>
              </w:rPr>
            </w:pPr>
            <w:r w:rsidRPr="001F5897">
              <w:rPr>
                <w:b/>
                <w:bCs/>
                <w:color w:val="000000"/>
              </w:rPr>
              <w:t>42</w:t>
            </w:r>
          </w:p>
        </w:tc>
        <w:tc>
          <w:tcPr>
            <w:tcW w:w="579" w:type="dxa"/>
            <w:tcBorders>
              <w:top w:val="nil"/>
              <w:left w:val="nil"/>
              <w:bottom w:val="single" w:sz="8" w:space="0" w:color="auto"/>
              <w:right w:val="single" w:sz="8" w:space="0" w:color="auto"/>
            </w:tcBorders>
            <w:shd w:val="clear" w:color="000000" w:fill="FBF9D9"/>
            <w:vAlign w:val="center"/>
            <w:hideMark/>
          </w:tcPr>
          <w:p w14:paraId="2F27FD70" w14:textId="77777777" w:rsidR="00E222DA" w:rsidRPr="001F5897" w:rsidRDefault="00E222DA" w:rsidP="00D21CC6">
            <w:pPr>
              <w:jc w:val="center"/>
              <w:rPr>
                <w:b/>
                <w:bCs/>
                <w:color w:val="000000"/>
              </w:rPr>
            </w:pPr>
            <w:r w:rsidRPr="001F5897">
              <w:rPr>
                <w:b/>
                <w:bCs/>
                <w:color w:val="000000"/>
              </w:rPr>
              <w:t>5</w:t>
            </w:r>
          </w:p>
        </w:tc>
        <w:tc>
          <w:tcPr>
            <w:tcW w:w="1048" w:type="dxa"/>
            <w:tcBorders>
              <w:top w:val="nil"/>
              <w:left w:val="nil"/>
              <w:bottom w:val="single" w:sz="8" w:space="0" w:color="auto"/>
              <w:right w:val="single" w:sz="8" w:space="0" w:color="auto"/>
            </w:tcBorders>
            <w:shd w:val="clear" w:color="000000" w:fill="FBF9D9"/>
            <w:vAlign w:val="center"/>
            <w:hideMark/>
          </w:tcPr>
          <w:p w14:paraId="2C327C3E" w14:textId="77777777" w:rsidR="00E222DA" w:rsidRPr="001F5897" w:rsidRDefault="00E222DA" w:rsidP="00D21CC6">
            <w:pPr>
              <w:jc w:val="center"/>
              <w:rPr>
                <w:b/>
                <w:bCs/>
                <w:color w:val="000000"/>
              </w:rPr>
            </w:pPr>
            <w:r w:rsidRPr="001F5897">
              <w:rPr>
                <w:b/>
                <w:bCs/>
                <w:color w:val="000000"/>
              </w:rPr>
              <w:t>1.125.264</w:t>
            </w:r>
          </w:p>
        </w:tc>
        <w:tc>
          <w:tcPr>
            <w:tcW w:w="683" w:type="dxa"/>
            <w:tcBorders>
              <w:top w:val="nil"/>
              <w:left w:val="nil"/>
              <w:bottom w:val="single" w:sz="8" w:space="0" w:color="auto"/>
              <w:right w:val="single" w:sz="8" w:space="0" w:color="auto"/>
            </w:tcBorders>
            <w:shd w:val="clear" w:color="000000" w:fill="FBF9D9"/>
            <w:vAlign w:val="center"/>
            <w:hideMark/>
          </w:tcPr>
          <w:p w14:paraId="27D52619" w14:textId="77777777" w:rsidR="00E222DA" w:rsidRPr="001F5897" w:rsidRDefault="00E222DA" w:rsidP="00D21CC6">
            <w:pPr>
              <w:jc w:val="center"/>
              <w:rPr>
                <w:color w:val="000000"/>
              </w:rPr>
            </w:pPr>
            <w:r w:rsidRPr="001F5897">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3723632D" w14:textId="77777777" w:rsidR="00E222DA" w:rsidRPr="001F5897" w:rsidRDefault="00E222DA" w:rsidP="00D21CC6">
            <w:pPr>
              <w:jc w:val="center"/>
              <w:rPr>
                <w:color w:val="000000"/>
              </w:rPr>
            </w:pPr>
            <w:r w:rsidRPr="001F5897">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63A083DF" w14:textId="77777777" w:rsidR="00E222DA" w:rsidRPr="001F5897" w:rsidRDefault="00E222DA" w:rsidP="00D21CC6">
            <w:pPr>
              <w:jc w:val="center"/>
              <w:rPr>
                <w:color w:val="000000"/>
              </w:rPr>
            </w:pPr>
            <w:r w:rsidRPr="001F5897">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1FEFE9A4" w14:textId="77777777" w:rsidR="00E222DA" w:rsidRPr="001F5897" w:rsidRDefault="00E222DA" w:rsidP="00D21CC6">
            <w:pPr>
              <w:jc w:val="center"/>
              <w:rPr>
                <w:color w:val="000000"/>
              </w:rPr>
            </w:pPr>
            <w:r w:rsidRPr="001F5897">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51E2F412" w14:textId="77777777" w:rsidR="00E222DA" w:rsidRPr="001F5897" w:rsidRDefault="00E222DA" w:rsidP="00D21CC6">
            <w:pPr>
              <w:jc w:val="center"/>
              <w:rPr>
                <w:color w:val="000000"/>
              </w:rPr>
            </w:pPr>
            <w:r w:rsidRPr="001F5897">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0ABA38EC" w14:textId="77777777" w:rsidR="00E222DA" w:rsidRPr="001F5897" w:rsidRDefault="00E222DA" w:rsidP="00D21CC6">
            <w:pPr>
              <w:jc w:val="center"/>
              <w:rPr>
                <w:color w:val="000000"/>
              </w:rPr>
            </w:pPr>
            <w:r w:rsidRPr="001F5897">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25267C2B"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50764D92"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658AAC9C"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140CBCF5" w14:textId="77777777" w:rsidR="00E222DA" w:rsidRPr="001F5897" w:rsidRDefault="00E222DA" w:rsidP="00D21CC6">
            <w:pPr>
              <w:jc w:val="center"/>
              <w:rPr>
                <w:color w:val="000000"/>
              </w:rPr>
            </w:pPr>
            <w:r w:rsidRPr="001F5897">
              <w:rPr>
                <w:color w:val="000000"/>
              </w:rPr>
              <w:t>-</w:t>
            </w:r>
          </w:p>
        </w:tc>
      </w:tr>
      <w:tr w:rsidR="00E222DA" w:rsidRPr="001F5897" w14:paraId="565C95C4" w14:textId="77777777" w:rsidTr="00D21CC6">
        <w:trPr>
          <w:trHeight w:val="753"/>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3CF32354" w14:textId="77777777" w:rsidR="00E222DA" w:rsidRPr="001F5897" w:rsidRDefault="00E222DA" w:rsidP="00D21CC6">
            <w:pPr>
              <w:jc w:val="right"/>
              <w:rPr>
                <w:color w:val="000000"/>
                <w:sz w:val="22"/>
                <w:szCs w:val="22"/>
              </w:rPr>
            </w:pPr>
            <w:r w:rsidRPr="001F5897">
              <w:rPr>
                <w:color w:val="000000"/>
                <w:sz w:val="22"/>
                <w:szCs w:val="22"/>
              </w:rPr>
              <w:t>7.</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569F1598" w14:textId="77777777" w:rsidR="00E222DA" w:rsidRPr="001F5897" w:rsidRDefault="00E222DA" w:rsidP="00D21CC6">
            <w:pPr>
              <w:jc w:val="left"/>
              <w:rPr>
                <w:color w:val="000000"/>
              </w:rPr>
            </w:pPr>
            <w:r w:rsidRPr="001F5897">
              <w:rPr>
                <w:sz w:val="18"/>
                <w:szCs w:val="18"/>
              </w:rPr>
              <w:t>Section 228 (5) Resumption of criminal prosecution</w:t>
            </w:r>
          </w:p>
        </w:tc>
        <w:tc>
          <w:tcPr>
            <w:tcW w:w="591" w:type="dxa"/>
            <w:tcBorders>
              <w:top w:val="nil"/>
              <w:left w:val="nil"/>
              <w:bottom w:val="single" w:sz="8" w:space="0" w:color="auto"/>
              <w:right w:val="single" w:sz="8" w:space="0" w:color="auto"/>
            </w:tcBorders>
            <w:shd w:val="clear" w:color="000000" w:fill="FBF9D9"/>
            <w:vAlign w:val="center"/>
            <w:hideMark/>
          </w:tcPr>
          <w:p w14:paraId="300C5E62" w14:textId="77777777" w:rsidR="00E222DA" w:rsidRPr="001F5897" w:rsidRDefault="00E222DA" w:rsidP="00D21CC6">
            <w:pPr>
              <w:jc w:val="center"/>
              <w:rPr>
                <w:b/>
                <w:bCs/>
                <w:color w:val="000000"/>
              </w:rPr>
            </w:pPr>
            <w:r w:rsidRPr="001F5897">
              <w:rPr>
                <w:b/>
                <w:bCs/>
                <w:color w:val="000000"/>
              </w:rPr>
              <w:t>21</w:t>
            </w:r>
          </w:p>
        </w:tc>
        <w:tc>
          <w:tcPr>
            <w:tcW w:w="579" w:type="dxa"/>
            <w:tcBorders>
              <w:top w:val="nil"/>
              <w:left w:val="nil"/>
              <w:bottom w:val="single" w:sz="8" w:space="0" w:color="auto"/>
              <w:right w:val="single" w:sz="8" w:space="0" w:color="auto"/>
            </w:tcBorders>
            <w:shd w:val="clear" w:color="000000" w:fill="FBF9D9"/>
            <w:vAlign w:val="center"/>
            <w:hideMark/>
          </w:tcPr>
          <w:p w14:paraId="658D9A3C" w14:textId="77777777" w:rsidR="00E222DA" w:rsidRPr="001F5897" w:rsidRDefault="00E222DA" w:rsidP="00D21CC6">
            <w:pPr>
              <w:jc w:val="center"/>
              <w:rPr>
                <w:b/>
                <w:bCs/>
                <w:color w:val="000000"/>
              </w:rPr>
            </w:pPr>
            <w:r w:rsidRPr="001F5897">
              <w:rPr>
                <w:b/>
                <w:bCs/>
                <w:color w:val="000000"/>
              </w:rPr>
              <w:t>5</w:t>
            </w:r>
          </w:p>
        </w:tc>
        <w:tc>
          <w:tcPr>
            <w:tcW w:w="1040" w:type="dxa"/>
            <w:tcBorders>
              <w:top w:val="nil"/>
              <w:left w:val="nil"/>
              <w:bottom w:val="single" w:sz="8" w:space="0" w:color="auto"/>
              <w:right w:val="single" w:sz="8" w:space="0" w:color="auto"/>
            </w:tcBorders>
            <w:shd w:val="clear" w:color="000000" w:fill="FBF9D9"/>
            <w:vAlign w:val="center"/>
            <w:hideMark/>
          </w:tcPr>
          <w:p w14:paraId="0462D853" w14:textId="77777777" w:rsidR="00E222DA" w:rsidRPr="001F5897" w:rsidRDefault="00E222DA" w:rsidP="00D21CC6">
            <w:pPr>
              <w:jc w:val="center"/>
              <w:rPr>
                <w:color w:val="000000"/>
              </w:rPr>
            </w:pPr>
            <w:r w:rsidRPr="001F5897">
              <w:rPr>
                <w:color w:val="000000"/>
              </w:rPr>
              <w:t>-</w:t>
            </w:r>
          </w:p>
        </w:tc>
        <w:tc>
          <w:tcPr>
            <w:tcW w:w="617" w:type="dxa"/>
            <w:tcBorders>
              <w:top w:val="nil"/>
              <w:left w:val="nil"/>
              <w:bottom w:val="single" w:sz="8" w:space="0" w:color="auto"/>
              <w:right w:val="single" w:sz="8" w:space="0" w:color="auto"/>
            </w:tcBorders>
            <w:shd w:val="clear" w:color="000000" w:fill="FBF9D9"/>
            <w:vAlign w:val="center"/>
            <w:hideMark/>
          </w:tcPr>
          <w:p w14:paraId="5F11AA8A" w14:textId="77777777" w:rsidR="00E222DA" w:rsidRPr="001F5897" w:rsidRDefault="00E222DA" w:rsidP="00D21CC6">
            <w:pPr>
              <w:jc w:val="center"/>
              <w:rPr>
                <w:b/>
                <w:bCs/>
                <w:color w:val="000000"/>
              </w:rPr>
            </w:pPr>
            <w:r w:rsidRPr="001F5897">
              <w:rPr>
                <w:b/>
                <w:bCs/>
                <w:color w:val="000000"/>
              </w:rPr>
              <w:t>16</w:t>
            </w:r>
          </w:p>
        </w:tc>
        <w:tc>
          <w:tcPr>
            <w:tcW w:w="579" w:type="dxa"/>
            <w:tcBorders>
              <w:top w:val="nil"/>
              <w:left w:val="nil"/>
              <w:bottom w:val="single" w:sz="8" w:space="0" w:color="auto"/>
              <w:right w:val="single" w:sz="8" w:space="0" w:color="auto"/>
            </w:tcBorders>
            <w:shd w:val="clear" w:color="000000" w:fill="FBF9D9"/>
            <w:vAlign w:val="center"/>
            <w:hideMark/>
          </w:tcPr>
          <w:p w14:paraId="43C8476D" w14:textId="77777777" w:rsidR="00E222DA" w:rsidRPr="001F5897" w:rsidRDefault="00E222DA" w:rsidP="00D21CC6">
            <w:pPr>
              <w:jc w:val="center"/>
              <w:rPr>
                <w:b/>
                <w:bCs/>
                <w:color w:val="000000"/>
              </w:rPr>
            </w:pPr>
            <w:r w:rsidRPr="001F5897">
              <w:rPr>
                <w:b/>
                <w:bCs/>
                <w:color w:val="000000"/>
              </w:rPr>
              <w:t>7</w:t>
            </w:r>
          </w:p>
        </w:tc>
        <w:tc>
          <w:tcPr>
            <w:tcW w:w="1048" w:type="dxa"/>
            <w:tcBorders>
              <w:top w:val="nil"/>
              <w:left w:val="nil"/>
              <w:bottom w:val="single" w:sz="8" w:space="0" w:color="auto"/>
              <w:right w:val="single" w:sz="8" w:space="0" w:color="auto"/>
            </w:tcBorders>
            <w:shd w:val="clear" w:color="000000" w:fill="FBF9D9"/>
            <w:vAlign w:val="center"/>
            <w:hideMark/>
          </w:tcPr>
          <w:p w14:paraId="7568EB86" w14:textId="77777777" w:rsidR="00E222DA" w:rsidRPr="001F5897" w:rsidRDefault="00E222DA" w:rsidP="00D21CC6">
            <w:pPr>
              <w:jc w:val="center"/>
              <w:rPr>
                <w:b/>
                <w:bCs/>
                <w:color w:val="000000"/>
              </w:rPr>
            </w:pPr>
            <w:r w:rsidRPr="001F5897">
              <w:rPr>
                <w:b/>
                <w:bCs/>
                <w:color w:val="000000"/>
              </w:rPr>
              <w:t>448.171</w:t>
            </w:r>
          </w:p>
        </w:tc>
        <w:tc>
          <w:tcPr>
            <w:tcW w:w="683" w:type="dxa"/>
            <w:tcBorders>
              <w:top w:val="nil"/>
              <w:left w:val="nil"/>
              <w:bottom w:val="single" w:sz="8" w:space="0" w:color="auto"/>
              <w:right w:val="single" w:sz="8" w:space="0" w:color="auto"/>
            </w:tcBorders>
            <w:shd w:val="clear" w:color="000000" w:fill="FBF9D9"/>
            <w:vAlign w:val="center"/>
            <w:hideMark/>
          </w:tcPr>
          <w:p w14:paraId="55206618" w14:textId="77777777" w:rsidR="00E222DA" w:rsidRPr="001F5897" w:rsidRDefault="00E222DA" w:rsidP="00D21CC6">
            <w:pPr>
              <w:jc w:val="center"/>
              <w:rPr>
                <w:color w:val="000000"/>
              </w:rPr>
            </w:pPr>
            <w:r w:rsidRPr="001F5897">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56F98EA5" w14:textId="77777777" w:rsidR="00E222DA" w:rsidRPr="001F5897" w:rsidRDefault="00E222DA" w:rsidP="00D21CC6">
            <w:pPr>
              <w:jc w:val="center"/>
              <w:rPr>
                <w:color w:val="000000"/>
              </w:rPr>
            </w:pPr>
            <w:r w:rsidRPr="001F5897">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3EE2274F" w14:textId="77777777" w:rsidR="00E222DA" w:rsidRPr="001F5897" w:rsidRDefault="00E222DA" w:rsidP="00D21CC6">
            <w:pPr>
              <w:jc w:val="center"/>
              <w:rPr>
                <w:color w:val="000000"/>
              </w:rPr>
            </w:pPr>
            <w:r w:rsidRPr="001F5897">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050AD39A" w14:textId="77777777" w:rsidR="00E222DA" w:rsidRPr="001F5897" w:rsidRDefault="00E222DA" w:rsidP="00D21CC6">
            <w:pPr>
              <w:jc w:val="center"/>
              <w:rPr>
                <w:color w:val="000000"/>
              </w:rPr>
            </w:pPr>
            <w:r w:rsidRPr="001F5897">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0B645C84" w14:textId="77777777" w:rsidR="00E222DA" w:rsidRPr="001F5897" w:rsidRDefault="00E222DA" w:rsidP="00D21CC6">
            <w:pPr>
              <w:jc w:val="center"/>
              <w:rPr>
                <w:color w:val="000000"/>
              </w:rPr>
            </w:pPr>
            <w:r w:rsidRPr="001F5897">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243DF5D1" w14:textId="77777777" w:rsidR="00E222DA" w:rsidRPr="001F5897" w:rsidRDefault="00E222DA" w:rsidP="00D21CC6">
            <w:pPr>
              <w:jc w:val="center"/>
              <w:rPr>
                <w:color w:val="000000"/>
              </w:rPr>
            </w:pPr>
            <w:r w:rsidRPr="001F5897">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780C1FCD"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042CE341" w14:textId="77777777" w:rsidR="00E222DA" w:rsidRPr="001F5897" w:rsidRDefault="00E222DA" w:rsidP="00D21CC6">
            <w:pPr>
              <w:jc w:val="center"/>
              <w:rPr>
                <w:color w:val="000000"/>
              </w:rPr>
            </w:pPr>
            <w:r w:rsidRPr="001F5897">
              <w:rPr>
                <w:color w:val="000000"/>
              </w:rPr>
              <w:t>-</w:t>
            </w:r>
          </w:p>
        </w:tc>
        <w:tc>
          <w:tcPr>
            <w:tcW w:w="838" w:type="dxa"/>
            <w:tcBorders>
              <w:top w:val="single" w:sz="8" w:space="0" w:color="auto"/>
              <w:left w:val="nil"/>
              <w:bottom w:val="single" w:sz="8" w:space="0" w:color="auto"/>
              <w:right w:val="single" w:sz="8" w:space="0" w:color="auto"/>
            </w:tcBorders>
            <w:shd w:val="clear" w:color="000000" w:fill="FBF9D9"/>
            <w:vAlign w:val="center"/>
          </w:tcPr>
          <w:p w14:paraId="4916D7C1" w14:textId="77777777" w:rsidR="00E222DA" w:rsidRPr="001F5897" w:rsidRDefault="00E222DA" w:rsidP="00D21CC6">
            <w:pPr>
              <w:jc w:val="center"/>
              <w:rPr>
                <w:color w:val="000000"/>
              </w:rPr>
            </w:pPr>
            <w:r w:rsidRPr="001F5897">
              <w:rPr>
                <w:color w:val="000000"/>
              </w:rPr>
              <w:t>-</w:t>
            </w:r>
          </w:p>
        </w:tc>
        <w:tc>
          <w:tcPr>
            <w:tcW w:w="838" w:type="dxa"/>
            <w:tcBorders>
              <w:top w:val="single" w:sz="8" w:space="0" w:color="auto"/>
              <w:left w:val="nil"/>
              <w:bottom w:val="single" w:sz="8" w:space="0" w:color="auto"/>
              <w:right w:val="single" w:sz="8" w:space="0" w:color="auto"/>
            </w:tcBorders>
            <w:shd w:val="clear" w:color="000000" w:fill="FBF9D9"/>
            <w:vAlign w:val="center"/>
          </w:tcPr>
          <w:p w14:paraId="0C5FE839" w14:textId="77777777" w:rsidR="00E222DA" w:rsidRPr="001F5897" w:rsidRDefault="00E222DA" w:rsidP="00D21CC6">
            <w:pPr>
              <w:jc w:val="center"/>
              <w:rPr>
                <w:color w:val="000000"/>
              </w:rPr>
            </w:pPr>
            <w:r w:rsidRPr="001F5897">
              <w:rPr>
                <w:color w:val="000000"/>
              </w:rPr>
              <w:t>-</w:t>
            </w:r>
          </w:p>
        </w:tc>
      </w:tr>
      <w:tr w:rsidR="00E222DA" w:rsidRPr="001F5897" w14:paraId="07E1FE9D" w14:textId="77777777" w:rsidTr="00D21CC6">
        <w:trPr>
          <w:trHeight w:val="1020"/>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38EA6FD9" w14:textId="77777777" w:rsidR="00E222DA" w:rsidRPr="001F5897" w:rsidRDefault="00E222DA" w:rsidP="00D21CC6">
            <w:pPr>
              <w:jc w:val="right"/>
              <w:rPr>
                <w:color w:val="000000"/>
                <w:sz w:val="22"/>
                <w:szCs w:val="22"/>
              </w:rPr>
            </w:pPr>
            <w:r w:rsidRPr="001F5897">
              <w:rPr>
                <w:color w:val="000000"/>
                <w:sz w:val="22"/>
                <w:szCs w:val="22"/>
              </w:rPr>
              <w:t>8.</w:t>
            </w:r>
          </w:p>
        </w:tc>
        <w:tc>
          <w:tcPr>
            <w:tcW w:w="907" w:type="dxa"/>
            <w:tcBorders>
              <w:top w:val="nil"/>
              <w:left w:val="nil"/>
              <w:bottom w:val="single" w:sz="8" w:space="0" w:color="auto"/>
              <w:right w:val="single" w:sz="8" w:space="0" w:color="auto"/>
            </w:tcBorders>
            <w:shd w:val="clear" w:color="000000" w:fill="FBF9D9"/>
            <w:vAlign w:val="center"/>
            <w:hideMark/>
          </w:tcPr>
          <w:p w14:paraId="14D1A409" w14:textId="77777777" w:rsidR="00E222DA" w:rsidRPr="001F5897" w:rsidRDefault="00E222DA" w:rsidP="00D21CC6">
            <w:pPr>
              <w:jc w:val="left"/>
              <w:rPr>
                <w:color w:val="000000"/>
              </w:rPr>
            </w:pPr>
            <w:r w:rsidRPr="001F5897">
              <w:rPr>
                <w:sz w:val="18"/>
                <w:szCs w:val="18"/>
              </w:rPr>
              <w:t>Section 234 Indictment</w:t>
            </w:r>
          </w:p>
        </w:tc>
        <w:tc>
          <w:tcPr>
            <w:tcW w:w="976" w:type="dxa"/>
            <w:tcBorders>
              <w:top w:val="nil"/>
              <w:left w:val="nil"/>
              <w:bottom w:val="single" w:sz="8" w:space="0" w:color="auto"/>
              <w:right w:val="single" w:sz="8" w:space="0" w:color="auto"/>
            </w:tcBorders>
            <w:shd w:val="clear" w:color="000000" w:fill="FBF9D9"/>
            <w:vAlign w:val="center"/>
            <w:hideMark/>
          </w:tcPr>
          <w:p w14:paraId="498EBCB1" w14:textId="77777777" w:rsidR="00E222DA" w:rsidRPr="001F5897" w:rsidRDefault="00E222DA" w:rsidP="00D21CC6">
            <w:pPr>
              <w:jc w:val="left"/>
              <w:rPr>
                <w:color w:val="000000"/>
              </w:rPr>
            </w:pPr>
            <w:r w:rsidRPr="001F5897">
              <w:rPr>
                <w:sz w:val="18"/>
                <w:szCs w:val="18"/>
              </w:rPr>
              <w:t>Section 331 Agreement on guilt and punishment</w:t>
            </w:r>
          </w:p>
        </w:tc>
        <w:tc>
          <w:tcPr>
            <w:tcW w:w="591" w:type="dxa"/>
            <w:tcBorders>
              <w:top w:val="nil"/>
              <w:left w:val="nil"/>
              <w:bottom w:val="single" w:sz="8" w:space="0" w:color="auto"/>
              <w:right w:val="single" w:sz="8" w:space="0" w:color="auto"/>
            </w:tcBorders>
            <w:shd w:val="clear" w:color="000000" w:fill="FBF9D9"/>
            <w:vAlign w:val="center"/>
            <w:hideMark/>
          </w:tcPr>
          <w:p w14:paraId="03E9C0D3" w14:textId="77777777" w:rsidR="00E222DA" w:rsidRPr="001F5897" w:rsidRDefault="00E222DA" w:rsidP="00D21CC6">
            <w:pPr>
              <w:jc w:val="center"/>
              <w:rPr>
                <w:color w:val="000000"/>
              </w:rPr>
            </w:pPr>
            <w:r w:rsidRPr="001F5897">
              <w:rPr>
                <w:color w:val="000000"/>
              </w:rPr>
              <w:t>-</w:t>
            </w:r>
          </w:p>
        </w:tc>
        <w:tc>
          <w:tcPr>
            <w:tcW w:w="579" w:type="dxa"/>
            <w:tcBorders>
              <w:top w:val="nil"/>
              <w:left w:val="nil"/>
              <w:bottom w:val="single" w:sz="8" w:space="0" w:color="auto"/>
              <w:right w:val="single" w:sz="8" w:space="0" w:color="auto"/>
            </w:tcBorders>
            <w:shd w:val="clear" w:color="000000" w:fill="FBF9D9"/>
            <w:vAlign w:val="center"/>
            <w:hideMark/>
          </w:tcPr>
          <w:p w14:paraId="39970F0F" w14:textId="77777777" w:rsidR="00E222DA" w:rsidRPr="001F5897" w:rsidRDefault="00E222DA" w:rsidP="00D21CC6">
            <w:pPr>
              <w:jc w:val="center"/>
              <w:rPr>
                <w:color w:val="000000"/>
              </w:rPr>
            </w:pPr>
            <w:r w:rsidRPr="001F5897">
              <w:rPr>
                <w:color w:val="000000"/>
              </w:rPr>
              <w:t>-</w:t>
            </w:r>
          </w:p>
        </w:tc>
        <w:tc>
          <w:tcPr>
            <w:tcW w:w="1040" w:type="dxa"/>
            <w:tcBorders>
              <w:top w:val="nil"/>
              <w:left w:val="nil"/>
              <w:bottom w:val="single" w:sz="8" w:space="0" w:color="auto"/>
              <w:right w:val="single" w:sz="8" w:space="0" w:color="auto"/>
            </w:tcBorders>
            <w:shd w:val="clear" w:color="000000" w:fill="FBF9D9"/>
            <w:vAlign w:val="center"/>
            <w:hideMark/>
          </w:tcPr>
          <w:p w14:paraId="732972F6" w14:textId="77777777" w:rsidR="00E222DA" w:rsidRPr="001F5897" w:rsidRDefault="00E222DA" w:rsidP="00D21CC6">
            <w:pPr>
              <w:jc w:val="center"/>
              <w:rPr>
                <w:color w:val="000000"/>
              </w:rPr>
            </w:pPr>
            <w:r w:rsidRPr="001F5897">
              <w:rPr>
                <w:color w:val="000000"/>
              </w:rPr>
              <w:t>-</w:t>
            </w:r>
          </w:p>
        </w:tc>
        <w:tc>
          <w:tcPr>
            <w:tcW w:w="617" w:type="dxa"/>
            <w:tcBorders>
              <w:top w:val="nil"/>
              <w:left w:val="nil"/>
              <w:bottom w:val="single" w:sz="8" w:space="0" w:color="auto"/>
              <w:right w:val="single" w:sz="8" w:space="0" w:color="auto"/>
            </w:tcBorders>
            <w:shd w:val="clear" w:color="000000" w:fill="FBF9D9"/>
            <w:vAlign w:val="center"/>
            <w:hideMark/>
          </w:tcPr>
          <w:p w14:paraId="182C3045" w14:textId="77777777" w:rsidR="00E222DA" w:rsidRPr="001F5897" w:rsidRDefault="00E222DA" w:rsidP="00D21CC6">
            <w:pPr>
              <w:jc w:val="center"/>
              <w:rPr>
                <w:color w:val="000000"/>
              </w:rPr>
            </w:pPr>
            <w:r w:rsidRPr="001F5897">
              <w:rPr>
                <w:color w:val="000000"/>
              </w:rPr>
              <w:t>-</w:t>
            </w:r>
          </w:p>
        </w:tc>
        <w:tc>
          <w:tcPr>
            <w:tcW w:w="579" w:type="dxa"/>
            <w:tcBorders>
              <w:top w:val="nil"/>
              <w:left w:val="nil"/>
              <w:bottom w:val="single" w:sz="8" w:space="0" w:color="auto"/>
              <w:right w:val="single" w:sz="8" w:space="0" w:color="auto"/>
            </w:tcBorders>
            <w:shd w:val="clear" w:color="000000" w:fill="FBF9D9"/>
            <w:vAlign w:val="center"/>
            <w:hideMark/>
          </w:tcPr>
          <w:p w14:paraId="724485EE" w14:textId="77777777" w:rsidR="00E222DA" w:rsidRPr="001F5897" w:rsidRDefault="00E222DA" w:rsidP="00D21CC6">
            <w:pPr>
              <w:jc w:val="center"/>
              <w:rPr>
                <w:color w:val="000000"/>
              </w:rPr>
            </w:pPr>
            <w:r w:rsidRPr="001F5897">
              <w:rPr>
                <w:color w:val="000000"/>
              </w:rPr>
              <w:t>-</w:t>
            </w:r>
          </w:p>
        </w:tc>
        <w:tc>
          <w:tcPr>
            <w:tcW w:w="1048" w:type="dxa"/>
            <w:tcBorders>
              <w:top w:val="nil"/>
              <w:left w:val="nil"/>
              <w:bottom w:val="single" w:sz="8" w:space="0" w:color="auto"/>
              <w:right w:val="single" w:sz="8" w:space="0" w:color="auto"/>
            </w:tcBorders>
            <w:shd w:val="clear" w:color="000000" w:fill="FBF9D9"/>
            <w:vAlign w:val="center"/>
            <w:hideMark/>
          </w:tcPr>
          <w:p w14:paraId="49D2E483" w14:textId="77777777" w:rsidR="00E222DA" w:rsidRPr="001F5897" w:rsidRDefault="00E222DA" w:rsidP="00D21CC6">
            <w:pPr>
              <w:jc w:val="center"/>
              <w:rPr>
                <w:color w:val="000000"/>
              </w:rPr>
            </w:pPr>
            <w:r w:rsidRPr="001F5897">
              <w:rPr>
                <w:color w:val="000000"/>
              </w:rPr>
              <w:t>-</w:t>
            </w:r>
          </w:p>
        </w:tc>
        <w:tc>
          <w:tcPr>
            <w:tcW w:w="683" w:type="dxa"/>
            <w:tcBorders>
              <w:top w:val="nil"/>
              <w:left w:val="nil"/>
              <w:bottom w:val="single" w:sz="8" w:space="0" w:color="auto"/>
              <w:right w:val="single" w:sz="8" w:space="0" w:color="auto"/>
            </w:tcBorders>
            <w:shd w:val="clear" w:color="000000" w:fill="FBF9D9"/>
            <w:vAlign w:val="center"/>
            <w:hideMark/>
          </w:tcPr>
          <w:p w14:paraId="3A954264" w14:textId="77777777" w:rsidR="00E222DA" w:rsidRPr="001F5897" w:rsidRDefault="00E222DA" w:rsidP="00D21CC6">
            <w:pPr>
              <w:jc w:val="center"/>
              <w:rPr>
                <w:color w:val="000000"/>
              </w:rPr>
            </w:pPr>
            <w:r w:rsidRPr="001F5897">
              <w:rPr>
                <w:color w:val="000000"/>
              </w:rPr>
              <w:t>-</w:t>
            </w:r>
          </w:p>
        </w:tc>
        <w:tc>
          <w:tcPr>
            <w:tcW w:w="340" w:type="dxa"/>
            <w:tcBorders>
              <w:top w:val="nil"/>
              <w:left w:val="nil"/>
              <w:bottom w:val="single" w:sz="8" w:space="0" w:color="auto"/>
              <w:right w:val="single" w:sz="8" w:space="0" w:color="auto"/>
            </w:tcBorders>
            <w:shd w:val="clear" w:color="000000" w:fill="FBF9D9"/>
            <w:vAlign w:val="center"/>
            <w:hideMark/>
          </w:tcPr>
          <w:p w14:paraId="0B20D724" w14:textId="77777777" w:rsidR="00E222DA" w:rsidRPr="001F5897" w:rsidRDefault="00E222DA" w:rsidP="00D21CC6">
            <w:pPr>
              <w:jc w:val="center"/>
              <w:rPr>
                <w:b/>
                <w:bCs/>
                <w:color w:val="000000"/>
              </w:rPr>
            </w:pPr>
            <w:r w:rsidRPr="001F5897">
              <w:rPr>
                <w:b/>
                <w:bCs/>
                <w:color w:val="000000"/>
              </w:rPr>
              <w:t>35</w:t>
            </w:r>
          </w:p>
        </w:tc>
        <w:tc>
          <w:tcPr>
            <w:tcW w:w="336" w:type="dxa"/>
            <w:tcBorders>
              <w:top w:val="nil"/>
              <w:left w:val="nil"/>
              <w:bottom w:val="single" w:sz="8" w:space="0" w:color="auto"/>
              <w:right w:val="single" w:sz="8" w:space="0" w:color="auto"/>
            </w:tcBorders>
            <w:shd w:val="clear" w:color="000000" w:fill="FBF9D9"/>
            <w:vAlign w:val="center"/>
            <w:hideMark/>
          </w:tcPr>
          <w:p w14:paraId="05EA2745" w14:textId="77777777" w:rsidR="00E222DA" w:rsidRPr="001F5897" w:rsidRDefault="00E222DA" w:rsidP="00D21CC6">
            <w:pPr>
              <w:jc w:val="center"/>
              <w:rPr>
                <w:b/>
                <w:bCs/>
                <w:color w:val="000000"/>
              </w:rPr>
            </w:pPr>
            <w:r w:rsidRPr="001F5897">
              <w:rPr>
                <w:b/>
                <w:bCs/>
                <w:color w:val="000000"/>
              </w:rPr>
              <w:t>8</w:t>
            </w:r>
          </w:p>
        </w:tc>
        <w:tc>
          <w:tcPr>
            <w:tcW w:w="711" w:type="dxa"/>
            <w:tcBorders>
              <w:top w:val="nil"/>
              <w:left w:val="nil"/>
              <w:bottom w:val="single" w:sz="8" w:space="0" w:color="auto"/>
              <w:right w:val="single" w:sz="8" w:space="0" w:color="auto"/>
            </w:tcBorders>
            <w:shd w:val="clear" w:color="000000" w:fill="FBF9D9"/>
            <w:vAlign w:val="center"/>
            <w:hideMark/>
          </w:tcPr>
          <w:p w14:paraId="02F13579" w14:textId="77777777" w:rsidR="00E222DA" w:rsidRPr="001F5897" w:rsidRDefault="00E222DA" w:rsidP="00D21CC6">
            <w:pPr>
              <w:jc w:val="center"/>
              <w:rPr>
                <w:color w:val="000000"/>
              </w:rPr>
            </w:pPr>
            <w:r w:rsidRPr="001F5897">
              <w:rPr>
                <w:color w:val="000000"/>
              </w:rPr>
              <w:t>-</w:t>
            </w:r>
          </w:p>
        </w:tc>
        <w:tc>
          <w:tcPr>
            <w:tcW w:w="340" w:type="dxa"/>
            <w:tcBorders>
              <w:top w:val="nil"/>
              <w:left w:val="nil"/>
              <w:bottom w:val="single" w:sz="8" w:space="0" w:color="auto"/>
              <w:right w:val="single" w:sz="8" w:space="0" w:color="auto"/>
            </w:tcBorders>
            <w:shd w:val="clear" w:color="000000" w:fill="FBF9D9"/>
            <w:vAlign w:val="center"/>
            <w:hideMark/>
          </w:tcPr>
          <w:p w14:paraId="7A9D074B" w14:textId="77777777" w:rsidR="00E222DA" w:rsidRPr="001F5897" w:rsidRDefault="00E222DA" w:rsidP="00D21CC6">
            <w:pPr>
              <w:jc w:val="center"/>
              <w:rPr>
                <w:b/>
                <w:bCs/>
                <w:color w:val="000000"/>
              </w:rPr>
            </w:pPr>
            <w:r w:rsidRPr="001F5897">
              <w:rPr>
                <w:b/>
                <w:bCs/>
                <w:color w:val="000000"/>
              </w:rPr>
              <w:t>36</w:t>
            </w:r>
          </w:p>
        </w:tc>
        <w:tc>
          <w:tcPr>
            <w:tcW w:w="274" w:type="dxa"/>
            <w:tcBorders>
              <w:top w:val="nil"/>
              <w:left w:val="nil"/>
              <w:bottom w:val="single" w:sz="8" w:space="0" w:color="auto"/>
              <w:right w:val="single" w:sz="8" w:space="0" w:color="auto"/>
            </w:tcBorders>
            <w:shd w:val="clear" w:color="000000" w:fill="FBF9D9"/>
            <w:vAlign w:val="center"/>
          </w:tcPr>
          <w:p w14:paraId="752DCC1F" w14:textId="77777777" w:rsidR="00E222DA" w:rsidRPr="001F5897" w:rsidRDefault="00E222DA" w:rsidP="00D21CC6">
            <w:pPr>
              <w:jc w:val="center"/>
              <w:rPr>
                <w:b/>
                <w:bCs/>
                <w:color w:val="000000"/>
              </w:rPr>
            </w:pPr>
            <w:r w:rsidRPr="001F5897">
              <w:rPr>
                <w:b/>
                <w:bCs/>
                <w:color w:val="000000"/>
              </w:rPr>
              <w:t>7</w:t>
            </w:r>
          </w:p>
        </w:tc>
        <w:tc>
          <w:tcPr>
            <w:tcW w:w="743" w:type="dxa"/>
            <w:tcBorders>
              <w:top w:val="nil"/>
              <w:left w:val="nil"/>
              <w:bottom w:val="single" w:sz="8" w:space="0" w:color="auto"/>
              <w:right w:val="single" w:sz="8" w:space="0" w:color="auto"/>
            </w:tcBorders>
            <w:shd w:val="clear" w:color="000000" w:fill="FBF9D9"/>
            <w:vAlign w:val="center"/>
            <w:hideMark/>
          </w:tcPr>
          <w:p w14:paraId="78FCA60A" w14:textId="77777777" w:rsidR="00E222DA" w:rsidRPr="001F5897" w:rsidRDefault="00E222DA" w:rsidP="00D21CC6">
            <w:pPr>
              <w:jc w:val="center"/>
              <w:rPr>
                <w:b/>
                <w:bCs/>
                <w:color w:val="000000"/>
              </w:rPr>
            </w:pPr>
            <w:r w:rsidRPr="001F5897">
              <w:rPr>
                <w:b/>
                <w:bCs/>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0F7AB350" w14:textId="77777777" w:rsidR="00E222DA" w:rsidRPr="001F5897" w:rsidRDefault="00E222DA" w:rsidP="00D21CC6">
            <w:pPr>
              <w:jc w:val="center"/>
              <w:rPr>
                <w:color w:val="000000"/>
              </w:rPr>
            </w:pPr>
            <w:r w:rsidRPr="001F5897">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713DCA45"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6A859A79" w14:textId="77777777" w:rsidR="00E222DA" w:rsidRPr="001F5897" w:rsidRDefault="00E222DA" w:rsidP="00D21CC6">
            <w:pPr>
              <w:jc w:val="center"/>
              <w:rPr>
                <w:color w:val="000000"/>
              </w:rPr>
            </w:pPr>
            <w:r w:rsidRPr="001F5897">
              <w:rPr>
                <w:color w:val="000000"/>
              </w:rPr>
              <w:t>-</w:t>
            </w:r>
          </w:p>
        </w:tc>
        <w:tc>
          <w:tcPr>
            <w:tcW w:w="838" w:type="dxa"/>
            <w:tcBorders>
              <w:top w:val="single" w:sz="8" w:space="0" w:color="auto"/>
              <w:left w:val="nil"/>
              <w:bottom w:val="single" w:sz="8" w:space="0" w:color="auto"/>
              <w:right w:val="single" w:sz="8" w:space="0" w:color="auto"/>
            </w:tcBorders>
            <w:shd w:val="clear" w:color="000000" w:fill="FBF9D9"/>
          </w:tcPr>
          <w:p w14:paraId="2283F2E5" w14:textId="77777777" w:rsidR="00E222DA" w:rsidRPr="001F5897" w:rsidRDefault="00E222DA" w:rsidP="00D21CC6">
            <w:pPr>
              <w:jc w:val="center"/>
              <w:rPr>
                <w:color w:val="000000"/>
              </w:rPr>
            </w:pPr>
          </w:p>
        </w:tc>
        <w:tc>
          <w:tcPr>
            <w:tcW w:w="838" w:type="dxa"/>
            <w:tcBorders>
              <w:top w:val="single" w:sz="8" w:space="0" w:color="auto"/>
              <w:left w:val="single" w:sz="8" w:space="0" w:color="auto"/>
              <w:bottom w:val="single" w:sz="8" w:space="0" w:color="auto"/>
              <w:right w:val="single" w:sz="8" w:space="0" w:color="auto"/>
            </w:tcBorders>
            <w:shd w:val="clear" w:color="000000" w:fill="FBF9D9"/>
          </w:tcPr>
          <w:p w14:paraId="3B09F3FD" w14:textId="77777777" w:rsidR="00E222DA" w:rsidRPr="001F5897" w:rsidRDefault="00E222DA" w:rsidP="00D21CC6">
            <w:pPr>
              <w:jc w:val="center"/>
              <w:rPr>
                <w:color w:val="000000"/>
              </w:rPr>
            </w:pPr>
          </w:p>
        </w:tc>
      </w:tr>
      <w:tr w:rsidR="00E222DA" w:rsidRPr="001F5897" w14:paraId="74D8C2A1" w14:textId="77777777" w:rsidTr="00D21CC6">
        <w:trPr>
          <w:trHeight w:val="502"/>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03F18E60" w14:textId="77777777" w:rsidR="00E222DA" w:rsidRPr="001F5897" w:rsidRDefault="00E222DA" w:rsidP="00D21CC6">
            <w:pPr>
              <w:jc w:val="right"/>
              <w:rPr>
                <w:color w:val="000000"/>
                <w:sz w:val="22"/>
                <w:szCs w:val="22"/>
              </w:rPr>
            </w:pPr>
            <w:r w:rsidRPr="001F5897">
              <w:rPr>
                <w:color w:val="000000"/>
                <w:sz w:val="22"/>
                <w:szCs w:val="22"/>
              </w:rPr>
              <w:t>9.</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64EFBB56" w14:textId="77777777" w:rsidR="00E222DA" w:rsidRPr="001F5897" w:rsidRDefault="00E222DA" w:rsidP="00D21CC6">
            <w:pPr>
              <w:jc w:val="left"/>
              <w:rPr>
                <w:color w:val="000000"/>
              </w:rPr>
            </w:pPr>
            <w:r w:rsidRPr="001F5897">
              <w:rPr>
                <w:sz w:val="18"/>
                <w:szCs w:val="18"/>
              </w:rPr>
              <w:t>Section 284 Final judgement</w:t>
            </w:r>
            <w:r w:rsidRPr="001F5897">
              <w:rPr>
                <w:color w:val="000000"/>
              </w:rPr>
              <w:t xml:space="preserve"> </w:t>
            </w:r>
          </w:p>
        </w:tc>
        <w:tc>
          <w:tcPr>
            <w:tcW w:w="591" w:type="dxa"/>
            <w:tcBorders>
              <w:top w:val="nil"/>
              <w:left w:val="nil"/>
              <w:bottom w:val="single" w:sz="8" w:space="0" w:color="auto"/>
              <w:right w:val="single" w:sz="8" w:space="0" w:color="auto"/>
            </w:tcBorders>
            <w:shd w:val="clear" w:color="000000" w:fill="FBF9D9"/>
            <w:vAlign w:val="center"/>
            <w:hideMark/>
          </w:tcPr>
          <w:p w14:paraId="5BF2B080" w14:textId="77777777" w:rsidR="00E222DA" w:rsidRPr="001F5897" w:rsidRDefault="00E222DA" w:rsidP="00D21CC6">
            <w:pPr>
              <w:jc w:val="center"/>
              <w:rPr>
                <w:color w:val="000000"/>
              </w:rPr>
            </w:pPr>
            <w:r w:rsidRPr="001F5897">
              <w:rPr>
                <w:color w:val="000000"/>
              </w:rPr>
              <w:t>-</w:t>
            </w:r>
          </w:p>
        </w:tc>
        <w:tc>
          <w:tcPr>
            <w:tcW w:w="579" w:type="dxa"/>
            <w:tcBorders>
              <w:top w:val="nil"/>
              <w:left w:val="nil"/>
              <w:bottom w:val="single" w:sz="8" w:space="0" w:color="auto"/>
              <w:right w:val="single" w:sz="8" w:space="0" w:color="auto"/>
            </w:tcBorders>
            <w:shd w:val="clear" w:color="000000" w:fill="FBF9D9"/>
            <w:vAlign w:val="center"/>
            <w:hideMark/>
          </w:tcPr>
          <w:p w14:paraId="086A0BAD" w14:textId="77777777" w:rsidR="00E222DA" w:rsidRPr="001F5897" w:rsidRDefault="00E222DA" w:rsidP="00D21CC6">
            <w:pPr>
              <w:jc w:val="center"/>
              <w:rPr>
                <w:color w:val="000000"/>
              </w:rPr>
            </w:pPr>
            <w:r w:rsidRPr="001F5897">
              <w:rPr>
                <w:color w:val="000000"/>
              </w:rPr>
              <w:t>-</w:t>
            </w:r>
          </w:p>
        </w:tc>
        <w:tc>
          <w:tcPr>
            <w:tcW w:w="1040" w:type="dxa"/>
            <w:tcBorders>
              <w:top w:val="nil"/>
              <w:left w:val="nil"/>
              <w:bottom w:val="single" w:sz="8" w:space="0" w:color="auto"/>
              <w:right w:val="single" w:sz="8" w:space="0" w:color="auto"/>
            </w:tcBorders>
            <w:shd w:val="clear" w:color="000000" w:fill="FBF9D9"/>
            <w:vAlign w:val="center"/>
            <w:hideMark/>
          </w:tcPr>
          <w:p w14:paraId="674E91E9" w14:textId="77777777" w:rsidR="00E222DA" w:rsidRPr="001F5897" w:rsidRDefault="00E222DA" w:rsidP="00D21CC6">
            <w:pPr>
              <w:jc w:val="center"/>
              <w:rPr>
                <w:color w:val="000000"/>
              </w:rPr>
            </w:pPr>
            <w:r w:rsidRPr="001F5897">
              <w:rPr>
                <w:color w:val="000000"/>
              </w:rPr>
              <w:t>-</w:t>
            </w:r>
          </w:p>
        </w:tc>
        <w:tc>
          <w:tcPr>
            <w:tcW w:w="617" w:type="dxa"/>
            <w:tcBorders>
              <w:top w:val="nil"/>
              <w:left w:val="nil"/>
              <w:bottom w:val="single" w:sz="8" w:space="0" w:color="auto"/>
              <w:right w:val="single" w:sz="8" w:space="0" w:color="auto"/>
            </w:tcBorders>
            <w:shd w:val="clear" w:color="000000" w:fill="FBF9D9"/>
            <w:vAlign w:val="center"/>
            <w:hideMark/>
          </w:tcPr>
          <w:p w14:paraId="4C407BF9" w14:textId="77777777" w:rsidR="00E222DA" w:rsidRPr="001F5897" w:rsidRDefault="00E222DA" w:rsidP="00D21CC6">
            <w:pPr>
              <w:jc w:val="center"/>
              <w:rPr>
                <w:color w:val="000000"/>
              </w:rPr>
            </w:pPr>
            <w:r w:rsidRPr="001F5897">
              <w:rPr>
                <w:color w:val="000000"/>
              </w:rPr>
              <w:t>-</w:t>
            </w:r>
          </w:p>
        </w:tc>
        <w:tc>
          <w:tcPr>
            <w:tcW w:w="579" w:type="dxa"/>
            <w:tcBorders>
              <w:top w:val="nil"/>
              <w:left w:val="nil"/>
              <w:bottom w:val="single" w:sz="8" w:space="0" w:color="auto"/>
              <w:right w:val="single" w:sz="8" w:space="0" w:color="auto"/>
            </w:tcBorders>
            <w:shd w:val="clear" w:color="000000" w:fill="FBF9D9"/>
            <w:vAlign w:val="center"/>
            <w:hideMark/>
          </w:tcPr>
          <w:p w14:paraId="60E0E19D" w14:textId="77777777" w:rsidR="00E222DA" w:rsidRPr="001F5897" w:rsidRDefault="00E222DA" w:rsidP="00D21CC6">
            <w:pPr>
              <w:jc w:val="center"/>
              <w:rPr>
                <w:color w:val="000000"/>
              </w:rPr>
            </w:pPr>
            <w:r w:rsidRPr="001F5897">
              <w:rPr>
                <w:color w:val="000000"/>
              </w:rPr>
              <w:t>-</w:t>
            </w:r>
          </w:p>
        </w:tc>
        <w:tc>
          <w:tcPr>
            <w:tcW w:w="1048" w:type="dxa"/>
            <w:tcBorders>
              <w:top w:val="nil"/>
              <w:left w:val="nil"/>
              <w:bottom w:val="single" w:sz="8" w:space="0" w:color="auto"/>
              <w:right w:val="single" w:sz="8" w:space="0" w:color="auto"/>
            </w:tcBorders>
            <w:shd w:val="clear" w:color="000000" w:fill="FBF9D9"/>
            <w:vAlign w:val="center"/>
            <w:hideMark/>
          </w:tcPr>
          <w:p w14:paraId="2E3C1BED" w14:textId="77777777" w:rsidR="00E222DA" w:rsidRPr="001F5897" w:rsidRDefault="00E222DA" w:rsidP="00D21CC6">
            <w:pPr>
              <w:jc w:val="center"/>
              <w:rPr>
                <w:color w:val="000000"/>
              </w:rPr>
            </w:pPr>
            <w:r w:rsidRPr="001F5897">
              <w:rPr>
                <w:color w:val="000000"/>
              </w:rPr>
              <w:t>-</w:t>
            </w:r>
          </w:p>
        </w:tc>
        <w:tc>
          <w:tcPr>
            <w:tcW w:w="683" w:type="dxa"/>
            <w:tcBorders>
              <w:top w:val="nil"/>
              <w:left w:val="nil"/>
              <w:bottom w:val="single" w:sz="8" w:space="0" w:color="auto"/>
              <w:right w:val="single" w:sz="8" w:space="0" w:color="auto"/>
            </w:tcBorders>
            <w:shd w:val="clear" w:color="000000" w:fill="FBF9D9"/>
            <w:vAlign w:val="center"/>
            <w:hideMark/>
          </w:tcPr>
          <w:p w14:paraId="53082F69" w14:textId="77777777" w:rsidR="00E222DA" w:rsidRPr="001F5897" w:rsidRDefault="00E222DA" w:rsidP="00D21CC6">
            <w:pPr>
              <w:jc w:val="center"/>
              <w:rPr>
                <w:color w:val="000000"/>
              </w:rPr>
            </w:pPr>
            <w:r w:rsidRPr="001F5897">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7C0FA097" w14:textId="77777777" w:rsidR="00E222DA" w:rsidRPr="001F5897" w:rsidRDefault="00E222DA" w:rsidP="00D21CC6">
            <w:pPr>
              <w:jc w:val="center"/>
              <w:rPr>
                <w:color w:val="000000"/>
              </w:rPr>
            </w:pPr>
            <w:r w:rsidRPr="001F5897">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7E90ABB3" w14:textId="77777777" w:rsidR="00E222DA" w:rsidRPr="001F5897" w:rsidRDefault="00E222DA" w:rsidP="00D21CC6">
            <w:pPr>
              <w:jc w:val="center"/>
              <w:rPr>
                <w:color w:val="000000"/>
              </w:rPr>
            </w:pPr>
            <w:r w:rsidRPr="001F5897">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0F17F2FB" w14:textId="77777777" w:rsidR="00E222DA" w:rsidRPr="001F5897" w:rsidRDefault="00E222DA" w:rsidP="00D21CC6">
            <w:pPr>
              <w:jc w:val="center"/>
              <w:rPr>
                <w:b/>
                <w:bCs/>
              </w:rPr>
            </w:pPr>
            <w:r w:rsidRPr="001F5897">
              <w:rPr>
                <w:b/>
                <w:bCs/>
              </w:rPr>
              <w:t>-</w:t>
            </w:r>
          </w:p>
        </w:tc>
        <w:tc>
          <w:tcPr>
            <w:tcW w:w="743" w:type="dxa"/>
            <w:tcBorders>
              <w:top w:val="nil"/>
              <w:left w:val="nil"/>
              <w:bottom w:val="single" w:sz="8" w:space="0" w:color="auto"/>
              <w:right w:val="single" w:sz="8" w:space="0" w:color="auto"/>
            </w:tcBorders>
            <w:shd w:val="clear" w:color="000000" w:fill="FBF9D9"/>
            <w:vAlign w:val="center"/>
            <w:hideMark/>
          </w:tcPr>
          <w:p w14:paraId="24D151E4" w14:textId="77777777" w:rsidR="00E222DA" w:rsidRPr="001F5897" w:rsidRDefault="00E222DA" w:rsidP="00D21CC6">
            <w:pPr>
              <w:jc w:val="center"/>
              <w:rPr>
                <w:color w:val="000000"/>
              </w:rPr>
            </w:pPr>
            <w:r w:rsidRPr="001F5897">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0D3F4EFB" w14:textId="77777777" w:rsidR="00E222DA" w:rsidRPr="001F5897" w:rsidRDefault="00E222DA" w:rsidP="00D21CC6">
            <w:pPr>
              <w:jc w:val="center"/>
              <w:rPr>
                <w:b/>
                <w:bCs/>
                <w:color w:val="000000"/>
              </w:rPr>
            </w:pPr>
            <w:r w:rsidRPr="001F5897">
              <w:rPr>
                <w:b/>
                <w:bCs/>
                <w:color w:val="000000"/>
              </w:rPr>
              <w:t>12</w:t>
            </w:r>
          </w:p>
        </w:tc>
        <w:tc>
          <w:tcPr>
            <w:tcW w:w="690" w:type="dxa"/>
            <w:tcBorders>
              <w:top w:val="nil"/>
              <w:left w:val="nil"/>
              <w:bottom w:val="single" w:sz="8" w:space="0" w:color="auto"/>
              <w:right w:val="single" w:sz="8" w:space="0" w:color="auto"/>
            </w:tcBorders>
            <w:shd w:val="clear" w:color="000000" w:fill="FBF9D9"/>
            <w:vAlign w:val="center"/>
            <w:hideMark/>
          </w:tcPr>
          <w:p w14:paraId="50C59AAC" w14:textId="77777777" w:rsidR="00E222DA" w:rsidRPr="001F5897" w:rsidRDefault="00E222DA" w:rsidP="00D21CC6">
            <w:pPr>
              <w:jc w:val="center"/>
              <w:rPr>
                <w:b/>
                <w:bCs/>
                <w:color w:val="000000"/>
              </w:rPr>
            </w:pPr>
            <w:r w:rsidRPr="001F5897">
              <w:rPr>
                <w:b/>
                <w:bCs/>
                <w:color w:val="000000"/>
              </w:rPr>
              <w:t>41.895</w:t>
            </w:r>
          </w:p>
        </w:tc>
        <w:tc>
          <w:tcPr>
            <w:tcW w:w="838" w:type="dxa"/>
            <w:tcBorders>
              <w:top w:val="nil"/>
              <w:left w:val="nil"/>
              <w:bottom w:val="single" w:sz="8" w:space="0" w:color="auto"/>
              <w:right w:val="single" w:sz="8" w:space="0" w:color="auto"/>
            </w:tcBorders>
            <w:shd w:val="clear" w:color="000000" w:fill="FBF9D9"/>
            <w:vAlign w:val="center"/>
            <w:hideMark/>
          </w:tcPr>
          <w:p w14:paraId="47CB87C2" w14:textId="77777777" w:rsidR="00E222DA" w:rsidRPr="001F5897" w:rsidRDefault="00E222DA" w:rsidP="00D21CC6">
            <w:pPr>
              <w:jc w:val="center"/>
              <w:rPr>
                <w:color w:val="000000"/>
              </w:rPr>
            </w:pPr>
            <w:r w:rsidRPr="001F5897">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6623FE0F" w14:textId="77777777" w:rsidR="00E222DA" w:rsidRPr="001F5897" w:rsidRDefault="00E222DA" w:rsidP="00D21CC6">
            <w:pPr>
              <w:jc w:val="center"/>
              <w:rPr>
                <w:b/>
                <w:bCs/>
              </w:rPr>
            </w:pPr>
            <w:r w:rsidRPr="001F5897">
              <w:rPr>
                <w:b/>
                <w:bCs/>
              </w:rPr>
              <w:t>23</w:t>
            </w:r>
          </w:p>
        </w:tc>
        <w:tc>
          <w:tcPr>
            <w:tcW w:w="838" w:type="dxa"/>
            <w:tcBorders>
              <w:top w:val="nil"/>
              <w:left w:val="nil"/>
              <w:bottom w:val="single" w:sz="8" w:space="0" w:color="auto"/>
              <w:right w:val="single" w:sz="8" w:space="0" w:color="auto"/>
            </w:tcBorders>
            <w:shd w:val="clear" w:color="000000" w:fill="FBF9D9"/>
            <w:vAlign w:val="center"/>
          </w:tcPr>
          <w:p w14:paraId="0DD66476" w14:textId="77777777" w:rsidR="00E222DA" w:rsidRPr="001F5897" w:rsidRDefault="00E222DA" w:rsidP="00D21CC6">
            <w:pPr>
              <w:jc w:val="center"/>
              <w:rPr>
                <w:b/>
                <w:bCs/>
                <w:color w:val="000000"/>
              </w:rPr>
            </w:pPr>
            <w:r w:rsidRPr="001F5897">
              <w:rPr>
                <w:b/>
                <w:bCs/>
                <w:color w:val="000000"/>
              </w:rPr>
              <w:t>1.429</w:t>
            </w:r>
          </w:p>
        </w:tc>
      </w:tr>
    </w:tbl>
    <w:p w14:paraId="70A397F3" w14:textId="77777777" w:rsidR="00D21CC6" w:rsidRPr="001F5897" w:rsidRDefault="00D21CC6" w:rsidP="00E222DA">
      <w:pPr>
        <w:jc w:val="center"/>
        <w:rPr>
          <w:rFonts w:eastAsia="Calibri"/>
          <w:b/>
          <w:sz w:val="28"/>
          <w:szCs w:val="28"/>
        </w:rPr>
        <w:sectPr w:rsidR="00D21CC6" w:rsidRPr="001F5897" w:rsidSect="00D21CC6">
          <w:pgSz w:w="16838" w:h="11906" w:orient="landscape"/>
          <w:pgMar w:top="1417" w:right="1417" w:bottom="1417" w:left="1417" w:header="708" w:footer="708" w:gutter="0"/>
          <w:cols w:space="708"/>
          <w:docGrid w:linePitch="360"/>
        </w:sectPr>
      </w:pPr>
    </w:p>
    <w:p w14:paraId="42BA292D" w14:textId="196C73CF" w:rsidR="00E222DA" w:rsidRPr="001F5897" w:rsidRDefault="00E222DA" w:rsidP="00E222DA">
      <w:pPr>
        <w:jc w:val="center"/>
        <w:rPr>
          <w:rFonts w:eastAsia="Calibri"/>
          <w:b/>
          <w:sz w:val="28"/>
          <w:szCs w:val="28"/>
        </w:rPr>
      </w:pPr>
      <w:r w:rsidRPr="001F5897">
        <w:rPr>
          <w:rFonts w:eastAsia="Calibri"/>
          <w:b/>
          <w:sz w:val="28"/>
          <w:szCs w:val="28"/>
        </w:rPr>
        <w:lastRenderedPageBreak/>
        <w:t xml:space="preserve">3. </w:t>
      </w:r>
      <w:bookmarkEnd w:id="4"/>
      <w:r w:rsidRPr="001F5897">
        <w:rPr>
          <w:b/>
          <w:sz w:val="28"/>
          <w:szCs w:val="28"/>
        </w:rPr>
        <w:t>Control activity</w:t>
      </w:r>
    </w:p>
    <w:p w14:paraId="7ACA8A39" w14:textId="77777777" w:rsidR="00E222DA" w:rsidRPr="001F5897" w:rsidRDefault="00E222DA" w:rsidP="00E222DA">
      <w:pPr>
        <w:spacing w:after="120"/>
        <w:rPr>
          <w:rFonts w:eastAsia="Calibri"/>
          <w:sz w:val="24"/>
          <w:szCs w:val="24"/>
          <w:highlight w:val="yellow"/>
          <w:lang w:eastAsia="en-US"/>
        </w:rPr>
      </w:pPr>
    </w:p>
    <w:p w14:paraId="4725959B" w14:textId="54F8F06A" w:rsidR="00E222DA" w:rsidRPr="001F5897" w:rsidRDefault="00E222DA" w:rsidP="00E222DA">
      <w:pPr>
        <w:spacing w:after="120"/>
        <w:rPr>
          <w:rFonts w:eastAsia="Calibri"/>
          <w:sz w:val="24"/>
          <w:szCs w:val="24"/>
          <w:lang w:eastAsia="en-US"/>
        </w:rPr>
      </w:pPr>
      <w:r w:rsidRPr="001F5897">
        <w:rPr>
          <w:rFonts w:eastAsia="Calibri"/>
          <w:sz w:val="24"/>
          <w:szCs w:val="24"/>
          <w:lang w:eastAsia="en-US"/>
        </w:rPr>
        <w:tab/>
        <w:t xml:space="preserve">The competent department of the FSJ designated to ensure </w:t>
      </w:r>
      <w:r w:rsidR="001F5897" w:rsidRPr="001F5897">
        <w:rPr>
          <w:rFonts w:eastAsia="Calibri"/>
          <w:sz w:val="24"/>
          <w:szCs w:val="24"/>
          <w:lang w:eastAsia="en-US"/>
        </w:rPr>
        <w:t>fulfilment</w:t>
      </w:r>
      <w:r w:rsidRPr="001F5897">
        <w:rPr>
          <w:rFonts w:eastAsia="Calibri"/>
          <w:sz w:val="24"/>
          <w:szCs w:val="24"/>
          <w:lang w:eastAsia="en-US"/>
        </w:rPr>
        <w:t xml:space="preserve"> of obligations and compliance with obligations of obliged entities under the </w:t>
      </w:r>
      <w:r w:rsidRPr="001F5897">
        <w:rPr>
          <w:sz w:val="24"/>
          <w:szCs w:val="24"/>
        </w:rPr>
        <w:t>AML/CFT Law</w:t>
      </w:r>
      <w:r w:rsidRPr="001F5897">
        <w:rPr>
          <w:rFonts w:eastAsia="Calibri"/>
          <w:sz w:val="24"/>
          <w:szCs w:val="24"/>
          <w:lang w:eastAsia="en-US"/>
        </w:rPr>
        <w:t xml:space="preserve"> is the </w:t>
      </w:r>
      <w:r w:rsidRPr="001F5897">
        <w:rPr>
          <w:sz w:val="24"/>
          <w:szCs w:val="24"/>
        </w:rPr>
        <w:t>Obliged Entities´ Audit Department</w:t>
      </w:r>
      <w:r w:rsidRPr="001F5897">
        <w:rPr>
          <w:rFonts w:eastAsia="Calibri"/>
          <w:sz w:val="24"/>
          <w:szCs w:val="24"/>
          <w:lang w:eastAsia="en-US"/>
        </w:rPr>
        <w:t xml:space="preserve">. In addition to its auditory activities this department also performs other tasks, the </w:t>
      </w:r>
      <w:r w:rsidR="001F5897" w:rsidRPr="001F5897">
        <w:rPr>
          <w:rFonts w:eastAsia="Calibri"/>
          <w:sz w:val="24"/>
          <w:szCs w:val="24"/>
          <w:lang w:eastAsia="en-US"/>
        </w:rPr>
        <w:t>scope of which is</w:t>
      </w:r>
      <w:r w:rsidRPr="001F5897">
        <w:rPr>
          <w:rFonts w:eastAsia="Calibri"/>
          <w:sz w:val="24"/>
          <w:szCs w:val="24"/>
          <w:lang w:eastAsia="en-US"/>
        </w:rPr>
        <w:t xml:space="preserve"> stipulated in Section 32 and 33 of the </w:t>
      </w:r>
      <w:r w:rsidRPr="001F5897">
        <w:rPr>
          <w:sz w:val="24"/>
          <w:szCs w:val="24"/>
        </w:rPr>
        <w:t xml:space="preserve">AML/CFT Law. The employees of the Obliged Entities´ Control Department of FSJ have in this case the </w:t>
      </w:r>
      <w:r w:rsidRPr="001F5897">
        <w:rPr>
          <w:rFonts w:eastAsia="Calibri"/>
          <w:sz w:val="24"/>
          <w:szCs w:val="24"/>
          <w:lang w:eastAsia="en-US"/>
        </w:rPr>
        <w:t xml:space="preserve">status of an administrative authority and so they as an administrative authority deal with administrative offences according to the Act No. 71/1967 Coll. on Administrative Procedure, as amended, as well as they </w:t>
      </w:r>
      <w:r w:rsidR="001F5897" w:rsidRPr="001F5897">
        <w:rPr>
          <w:rFonts w:eastAsia="Calibri"/>
          <w:sz w:val="24"/>
          <w:szCs w:val="24"/>
          <w:lang w:eastAsia="en-US"/>
        </w:rPr>
        <w:t>discuss</w:t>
      </w:r>
      <w:r w:rsidRPr="001F5897">
        <w:rPr>
          <w:rFonts w:eastAsia="Calibri"/>
          <w:sz w:val="24"/>
          <w:szCs w:val="24"/>
          <w:lang w:eastAsia="en-US"/>
        </w:rPr>
        <w:t xml:space="preserve"> </w:t>
      </w:r>
      <w:r w:rsidR="001F5897" w:rsidRPr="001F5897">
        <w:rPr>
          <w:rFonts w:eastAsia="Calibri"/>
          <w:sz w:val="24"/>
          <w:szCs w:val="24"/>
          <w:lang w:eastAsia="en-US"/>
        </w:rPr>
        <w:t>misdemeanours</w:t>
      </w:r>
      <w:r w:rsidRPr="001F5897">
        <w:rPr>
          <w:rFonts w:eastAsia="Calibri"/>
          <w:sz w:val="24"/>
          <w:szCs w:val="24"/>
          <w:lang w:eastAsia="en-US"/>
        </w:rPr>
        <w:t xml:space="preserve"> according to the Act of the Slovak National Council No. 372/1990 Coll. on </w:t>
      </w:r>
      <w:r w:rsidR="001F5897" w:rsidRPr="001F5897">
        <w:rPr>
          <w:rFonts w:eastAsia="Calibri"/>
          <w:sz w:val="24"/>
          <w:szCs w:val="24"/>
          <w:lang w:eastAsia="en-US"/>
        </w:rPr>
        <w:t>Misdemeanours</w:t>
      </w:r>
      <w:r w:rsidRPr="001F5897">
        <w:rPr>
          <w:rFonts w:eastAsia="Calibri"/>
          <w:sz w:val="24"/>
          <w:szCs w:val="24"/>
          <w:lang w:eastAsia="en-US"/>
        </w:rPr>
        <w:t>, as amended.</w:t>
      </w:r>
    </w:p>
    <w:p w14:paraId="07E9408A" w14:textId="4BE583AC" w:rsidR="00E222DA" w:rsidRPr="001F5897" w:rsidRDefault="00E222DA" w:rsidP="00E222DA">
      <w:pPr>
        <w:spacing w:after="120"/>
        <w:ind w:firstLine="708"/>
        <w:rPr>
          <w:rFonts w:eastAsia="Calibri"/>
          <w:sz w:val="24"/>
          <w:szCs w:val="24"/>
          <w:lang w:eastAsia="en-US"/>
        </w:rPr>
      </w:pPr>
      <w:r w:rsidRPr="001F5897">
        <w:rPr>
          <w:rFonts w:eastAsia="Calibri"/>
          <w:sz w:val="24"/>
          <w:szCs w:val="24"/>
          <w:lang w:eastAsia="en-US"/>
        </w:rPr>
        <w:t xml:space="preserve">The auditory activity is carried out primarily on the basis of an annual plan of control activities created for a particular calendar year. The different categories of obliged entities are designed to the plan of audit on the basis of knowledge and information obtained by previous audits of obliged entities performed on the basis of suggestions and information from other bodies of the Police Force, or </w:t>
      </w:r>
      <w:r w:rsidR="001F5897" w:rsidRPr="001F5897">
        <w:rPr>
          <w:rFonts w:eastAsia="Calibri"/>
          <w:sz w:val="24"/>
          <w:szCs w:val="24"/>
          <w:lang w:eastAsia="en-US"/>
        </w:rPr>
        <w:t>knowledge</w:t>
      </w:r>
      <w:r w:rsidRPr="001F5897">
        <w:rPr>
          <w:rFonts w:eastAsia="Calibri"/>
          <w:sz w:val="24"/>
          <w:szCs w:val="24"/>
          <w:lang w:eastAsia="en-US"/>
        </w:rPr>
        <w:t xml:space="preserve"> about various errors and failure to comply with certain legal obligations, obtained by processing of the UTRs.</w:t>
      </w:r>
    </w:p>
    <w:p w14:paraId="1A5DB0D2"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ab/>
        <w:t xml:space="preserve">In the year 2014 the audits of obliged entities carried out by </w:t>
      </w:r>
      <w:r w:rsidRPr="001F5897">
        <w:rPr>
          <w:sz w:val="24"/>
          <w:szCs w:val="24"/>
        </w:rPr>
        <w:t xml:space="preserve">employees of the Obliged Entities´ Control Department of FSJ </w:t>
      </w:r>
      <w:r w:rsidRPr="001F5897">
        <w:rPr>
          <w:rFonts w:eastAsia="Calibri"/>
          <w:sz w:val="24"/>
          <w:szCs w:val="24"/>
          <w:lang w:eastAsia="en-US"/>
        </w:rPr>
        <w:t xml:space="preserve">were focused on the obliged entities of financial and non-financial sector mainly. During the monitored period </w:t>
      </w:r>
      <w:r w:rsidRPr="001F5897">
        <w:rPr>
          <w:sz w:val="24"/>
          <w:szCs w:val="24"/>
        </w:rPr>
        <w:t>the Obliged Entities´ Control Department of FSJ</w:t>
      </w:r>
      <w:r w:rsidRPr="001F5897">
        <w:rPr>
          <w:rFonts w:eastAsia="Calibri"/>
          <w:sz w:val="24"/>
          <w:szCs w:val="24"/>
          <w:lang w:eastAsia="en-US"/>
        </w:rPr>
        <w:t xml:space="preserve"> performed a total of 22 audits with the results presented in the c</w:t>
      </w:r>
      <w:r w:rsidRPr="001F5897">
        <w:rPr>
          <w:sz w:val="24"/>
          <w:szCs w:val="24"/>
        </w:rPr>
        <w:t>hart No. 9</w:t>
      </w:r>
      <w:r w:rsidRPr="001F5897">
        <w:rPr>
          <w:rFonts w:eastAsia="Calibri"/>
          <w:sz w:val="24"/>
          <w:szCs w:val="24"/>
          <w:lang w:eastAsia="en-US"/>
        </w:rPr>
        <w:t>. From the number 22 initiated audits 13 of them were validly completed. However, 10 of them have not been completed and were carried over to the year 2015 (including 1 audit from the year 2013). In 6 cases there were already the decisions issued. In the year 2014 there were 13 decisions on imposing of a sanction - a fine in a total amount of 14.400,- EUR (fines from 300,- EUR to 5.000,- EUR) issued by FSJ, 4 audits have been completed without incurring penalties, in one case after examining the disposition of property of a property corporation (</w:t>
      </w:r>
      <w:r w:rsidRPr="001F5897">
        <w:rPr>
          <w:color w:val="222222"/>
          <w:sz w:val="24"/>
          <w:szCs w:val="24"/>
          <w:shd w:val="clear" w:color="auto" w:fill="FFFFFF"/>
        </w:rPr>
        <w:t>non-profit organization</w:t>
      </w:r>
      <w:r w:rsidRPr="001F5897">
        <w:rPr>
          <w:rFonts w:eastAsia="Calibri"/>
          <w:sz w:val="24"/>
          <w:szCs w:val="24"/>
          <w:lang w:eastAsia="en-US"/>
        </w:rPr>
        <w:t xml:space="preserve">) was the audit terminated and the outcome of this audits was submitted to the competent LEA because of suspicion of wasteful disposition of property and in 4 other cases the audits continue in 2015 as well. Regarding the 13 decisions on imposing of fines, the decisions in 2 cases were contested by filing an appeal, which has not been decided by the appellate authority by the end of 2014. Along with the decision on imposing of fine, in two cases (in each of them was equally imposed a fine of 3.000,- EUR) there were suggestions sent to the Department for Small Business in order to revoke a license for the conduct of business activity in accordance with Section 34 of the </w:t>
      </w:r>
      <w:r w:rsidRPr="001F5897">
        <w:rPr>
          <w:sz w:val="24"/>
          <w:szCs w:val="24"/>
        </w:rPr>
        <w:t>AML/CFT Law.</w:t>
      </w:r>
    </w:p>
    <w:p w14:paraId="17553518"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ab/>
        <w:t>In the year 2014 there were 10 fines in a total amount of 14.800,- EUR paid up by the obliged entities based on the decision of FSJ to impose fines for administrative offences that were issued in the year 2014 as well as in the previous period. Of the mentioned amount of 14.800</w:t>
      </w:r>
      <w:proofErr w:type="gramStart"/>
      <w:r w:rsidRPr="001F5897">
        <w:rPr>
          <w:rFonts w:eastAsia="Calibri"/>
          <w:sz w:val="24"/>
          <w:szCs w:val="24"/>
          <w:lang w:eastAsia="en-US"/>
        </w:rPr>
        <w:t>,-</w:t>
      </w:r>
      <w:proofErr w:type="gramEnd"/>
      <w:r w:rsidRPr="001F5897">
        <w:rPr>
          <w:rFonts w:eastAsia="Calibri"/>
          <w:sz w:val="24"/>
          <w:szCs w:val="24"/>
          <w:lang w:eastAsia="en-US"/>
        </w:rPr>
        <w:t xml:space="preserve"> EUR, a sum of 6.500,- EUR was paid according to the decisions on imposing of fines issued in 2014.</w:t>
      </w:r>
    </w:p>
    <w:p w14:paraId="3AE2942A" w14:textId="4F09379E" w:rsidR="00E222DA" w:rsidRPr="001F5897" w:rsidRDefault="00E222DA" w:rsidP="00E222DA">
      <w:pPr>
        <w:spacing w:after="120"/>
        <w:rPr>
          <w:rFonts w:eastAsia="Calibri"/>
          <w:lang w:eastAsia="en-US"/>
        </w:rPr>
      </w:pPr>
      <w:r w:rsidRPr="001F5897">
        <w:t xml:space="preserve">Chart No. 9 Statistical data on way of completion of controls performed in </w:t>
      </w:r>
      <w:r w:rsidRPr="001F5897">
        <w:rPr>
          <w:rFonts w:eastAsia="Calibri"/>
          <w:lang w:eastAsia="en-US"/>
        </w:rPr>
        <w:t>2014</w:t>
      </w:r>
    </w:p>
    <w:tbl>
      <w:tblPr>
        <w:tblStyle w:val="Mriekatabuky1"/>
        <w:tblW w:w="0" w:type="auto"/>
        <w:tblLayout w:type="fixed"/>
        <w:tblLook w:val="04A0" w:firstRow="1" w:lastRow="0" w:firstColumn="1" w:lastColumn="0" w:noHBand="0" w:noVBand="1"/>
      </w:tblPr>
      <w:tblGrid>
        <w:gridCol w:w="642"/>
        <w:gridCol w:w="1002"/>
        <w:gridCol w:w="1016"/>
        <w:gridCol w:w="1148"/>
        <w:gridCol w:w="1461"/>
        <w:gridCol w:w="1015"/>
        <w:gridCol w:w="948"/>
        <w:gridCol w:w="961"/>
        <w:gridCol w:w="1095"/>
      </w:tblGrid>
      <w:tr w:rsidR="00E222DA" w:rsidRPr="001F5897" w14:paraId="77CA025A" w14:textId="77777777" w:rsidTr="00D21CC6">
        <w:tc>
          <w:tcPr>
            <w:tcW w:w="642" w:type="dxa"/>
            <w:vMerge w:val="restart"/>
            <w:shd w:val="clear" w:color="auto" w:fill="FDE9D9" w:themeFill="accent6" w:themeFillTint="33"/>
            <w:vAlign w:val="center"/>
          </w:tcPr>
          <w:p w14:paraId="215ADCD0" w14:textId="77777777" w:rsidR="00E222DA" w:rsidRPr="001F5897" w:rsidRDefault="00E222DA" w:rsidP="00E222DA">
            <w:pPr>
              <w:spacing w:after="120"/>
              <w:jc w:val="center"/>
              <w:rPr>
                <w:rFonts w:eastAsia="Calibri"/>
                <w:lang w:eastAsia="en-US"/>
              </w:rPr>
            </w:pPr>
            <w:r w:rsidRPr="001F5897">
              <w:rPr>
                <w:rFonts w:eastAsia="Calibri"/>
                <w:lang w:eastAsia="en-US"/>
              </w:rPr>
              <w:t xml:space="preserve">Year </w:t>
            </w:r>
          </w:p>
        </w:tc>
        <w:tc>
          <w:tcPr>
            <w:tcW w:w="1002" w:type="dxa"/>
            <w:vMerge w:val="restart"/>
            <w:shd w:val="clear" w:color="auto" w:fill="FDE9D9" w:themeFill="accent6" w:themeFillTint="33"/>
            <w:vAlign w:val="center"/>
          </w:tcPr>
          <w:p w14:paraId="35D5CAF7" w14:textId="77777777" w:rsidR="00E222DA" w:rsidRPr="001F5897" w:rsidRDefault="00E222DA" w:rsidP="00E222DA">
            <w:pPr>
              <w:spacing w:after="120"/>
              <w:rPr>
                <w:rFonts w:eastAsia="Calibri"/>
                <w:lang w:eastAsia="en-US"/>
              </w:rPr>
            </w:pPr>
            <w:r w:rsidRPr="001F5897">
              <w:t>Number of controls</w:t>
            </w:r>
            <w:r w:rsidRPr="001F5897">
              <w:rPr>
                <w:rFonts w:eastAsia="Calibri"/>
                <w:lang w:eastAsia="en-US"/>
              </w:rPr>
              <w:t xml:space="preserve"> </w:t>
            </w:r>
          </w:p>
        </w:tc>
        <w:tc>
          <w:tcPr>
            <w:tcW w:w="3625" w:type="dxa"/>
            <w:gridSpan w:val="3"/>
            <w:shd w:val="clear" w:color="auto" w:fill="FDE9D9" w:themeFill="accent6" w:themeFillTint="33"/>
            <w:vAlign w:val="center"/>
          </w:tcPr>
          <w:p w14:paraId="65D8306F" w14:textId="77777777" w:rsidR="00E222DA" w:rsidRPr="001F5897" w:rsidRDefault="00E222DA" w:rsidP="00E222DA">
            <w:pPr>
              <w:spacing w:after="120"/>
              <w:jc w:val="center"/>
              <w:rPr>
                <w:rFonts w:eastAsia="Calibri"/>
                <w:lang w:eastAsia="en-US"/>
              </w:rPr>
            </w:pPr>
            <w:r w:rsidRPr="001F5897">
              <w:t>Way of completion</w:t>
            </w:r>
            <w:r w:rsidRPr="001F5897">
              <w:rPr>
                <w:rFonts w:eastAsia="Calibri"/>
                <w:lang w:eastAsia="en-US"/>
              </w:rPr>
              <w:t xml:space="preserve"> </w:t>
            </w:r>
          </w:p>
        </w:tc>
        <w:tc>
          <w:tcPr>
            <w:tcW w:w="1015" w:type="dxa"/>
            <w:vMerge w:val="restart"/>
            <w:shd w:val="clear" w:color="auto" w:fill="FDE9D9" w:themeFill="accent6" w:themeFillTint="33"/>
            <w:vAlign w:val="center"/>
          </w:tcPr>
          <w:p w14:paraId="31C6EFD6" w14:textId="77777777" w:rsidR="00E222DA" w:rsidRPr="001F5897" w:rsidRDefault="00E222DA" w:rsidP="00E222DA">
            <w:pPr>
              <w:spacing w:after="120"/>
              <w:rPr>
                <w:rFonts w:eastAsia="Calibri"/>
                <w:lang w:eastAsia="en-US"/>
              </w:rPr>
            </w:pPr>
            <w:r w:rsidRPr="001F5897">
              <w:t>Amount of sanction in EUR</w:t>
            </w:r>
          </w:p>
        </w:tc>
        <w:tc>
          <w:tcPr>
            <w:tcW w:w="1909" w:type="dxa"/>
            <w:gridSpan w:val="2"/>
            <w:shd w:val="clear" w:color="auto" w:fill="FDE9D9" w:themeFill="accent6" w:themeFillTint="33"/>
            <w:vAlign w:val="center"/>
          </w:tcPr>
          <w:p w14:paraId="37EBB298" w14:textId="77777777" w:rsidR="00E222DA" w:rsidRPr="001F5897" w:rsidRDefault="00E222DA" w:rsidP="00E222DA">
            <w:pPr>
              <w:spacing w:after="120"/>
              <w:jc w:val="center"/>
              <w:rPr>
                <w:rFonts w:eastAsia="Calibri"/>
                <w:lang w:eastAsia="en-US"/>
              </w:rPr>
            </w:pPr>
            <w:r w:rsidRPr="001F5897">
              <w:t>Paid-up in EUR</w:t>
            </w:r>
          </w:p>
        </w:tc>
        <w:tc>
          <w:tcPr>
            <w:tcW w:w="1095" w:type="dxa"/>
            <w:vMerge w:val="restart"/>
            <w:shd w:val="clear" w:color="auto" w:fill="FDE9D9" w:themeFill="accent6" w:themeFillTint="33"/>
            <w:vAlign w:val="center"/>
          </w:tcPr>
          <w:p w14:paraId="682F407E" w14:textId="77777777" w:rsidR="00E222DA" w:rsidRPr="001F5897" w:rsidRDefault="00E222DA" w:rsidP="00E222DA">
            <w:pPr>
              <w:spacing w:after="120"/>
              <w:rPr>
                <w:rFonts w:eastAsia="Calibri"/>
                <w:lang w:eastAsia="en-US"/>
              </w:rPr>
            </w:pPr>
            <w:r w:rsidRPr="001F5897">
              <w:t>Number of filed appeals</w:t>
            </w:r>
            <w:r w:rsidRPr="001F5897">
              <w:rPr>
                <w:rFonts w:eastAsia="Calibri"/>
                <w:lang w:eastAsia="en-US"/>
              </w:rPr>
              <w:t xml:space="preserve"> </w:t>
            </w:r>
          </w:p>
        </w:tc>
      </w:tr>
      <w:tr w:rsidR="00E222DA" w:rsidRPr="001F5897" w14:paraId="23E31FFD" w14:textId="77777777" w:rsidTr="00D21CC6">
        <w:tc>
          <w:tcPr>
            <w:tcW w:w="642" w:type="dxa"/>
            <w:vMerge/>
            <w:shd w:val="clear" w:color="auto" w:fill="FDE9D9" w:themeFill="accent6" w:themeFillTint="33"/>
            <w:vAlign w:val="center"/>
          </w:tcPr>
          <w:p w14:paraId="1BC93C12" w14:textId="77777777" w:rsidR="00E222DA" w:rsidRPr="001F5897" w:rsidRDefault="00E222DA" w:rsidP="00E222DA">
            <w:pPr>
              <w:spacing w:after="120"/>
              <w:rPr>
                <w:rFonts w:eastAsia="Calibri"/>
                <w:sz w:val="24"/>
                <w:szCs w:val="24"/>
                <w:lang w:eastAsia="en-US"/>
              </w:rPr>
            </w:pPr>
          </w:p>
        </w:tc>
        <w:tc>
          <w:tcPr>
            <w:tcW w:w="1002" w:type="dxa"/>
            <w:vMerge/>
            <w:shd w:val="clear" w:color="auto" w:fill="FDE9D9" w:themeFill="accent6" w:themeFillTint="33"/>
            <w:vAlign w:val="center"/>
          </w:tcPr>
          <w:p w14:paraId="12123E4E" w14:textId="77777777" w:rsidR="00E222DA" w:rsidRPr="001F5897" w:rsidRDefault="00E222DA" w:rsidP="00E222DA">
            <w:pPr>
              <w:spacing w:after="120"/>
              <w:rPr>
                <w:rFonts w:eastAsia="Calibri"/>
                <w:sz w:val="22"/>
                <w:szCs w:val="22"/>
                <w:lang w:eastAsia="en-US"/>
              </w:rPr>
            </w:pPr>
          </w:p>
        </w:tc>
        <w:tc>
          <w:tcPr>
            <w:tcW w:w="1016" w:type="dxa"/>
            <w:shd w:val="clear" w:color="auto" w:fill="FDE9D9" w:themeFill="accent6" w:themeFillTint="33"/>
            <w:vAlign w:val="center"/>
          </w:tcPr>
          <w:p w14:paraId="60ECFFEA" w14:textId="77777777" w:rsidR="00E222DA" w:rsidRPr="001F5897" w:rsidRDefault="00E222DA" w:rsidP="00E222DA">
            <w:pPr>
              <w:spacing w:after="120"/>
              <w:rPr>
                <w:rFonts w:eastAsia="Calibri"/>
                <w:lang w:eastAsia="en-US"/>
              </w:rPr>
            </w:pPr>
            <w:r w:rsidRPr="001F5897">
              <w:t>Without sanctions</w:t>
            </w:r>
          </w:p>
        </w:tc>
        <w:tc>
          <w:tcPr>
            <w:tcW w:w="1148" w:type="dxa"/>
            <w:shd w:val="clear" w:color="auto" w:fill="FDE9D9" w:themeFill="accent6" w:themeFillTint="33"/>
            <w:vAlign w:val="center"/>
          </w:tcPr>
          <w:p w14:paraId="7F229C14" w14:textId="77777777" w:rsidR="00E222DA" w:rsidRPr="001F5897" w:rsidRDefault="00E222DA" w:rsidP="00E222DA">
            <w:pPr>
              <w:spacing w:after="120"/>
              <w:rPr>
                <w:rFonts w:eastAsia="Calibri"/>
                <w:lang w:eastAsia="en-US"/>
              </w:rPr>
            </w:pPr>
            <w:r w:rsidRPr="001F5897">
              <w:t>Sanctions</w:t>
            </w:r>
          </w:p>
        </w:tc>
        <w:tc>
          <w:tcPr>
            <w:tcW w:w="1461" w:type="dxa"/>
            <w:shd w:val="clear" w:color="auto" w:fill="FDE9D9" w:themeFill="accent6" w:themeFillTint="33"/>
            <w:vAlign w:val="center"/>
          </w:tcPr>
          <w:p w14:paraId="6DCAB6EE" w14:textId="77777777" w:rsidR="00E222DA" w:rsidRPr="001F5897" w:rsidRDefault="00E222DA" w:rsidP="00E222DA">
            <w:pPr>
              <w:spacing w:after="120"/>
              <w:rPr>
                <w:rFonts w:eastAsia="Calibri"/>
                <w:lang w:eastAsia="en-US"/>
              </w:rPr>
            </w:pPr>
            <w:r w:rsidRPr="001F5897">
              <w:t>Not completed</w:t>
            </w:r>
            <w:r w:rsidRPr="001F5897">
              <w:rPr>
                <w:rFonts w:eastAsia="Calibri"/>
                <w:lang w:eastAsia="en-US"/>
              </w:rPr>
              <w:t xml:space="preserve"> and forwarded</w:t>
            </w:r>
          </w:p>
        </w:tc>
        <w:tc>
          <w:tcPr>
            <w:tcW w:w="1015" w:type="dxa"/>
            <w:vMerge/>
            <w:shd w:val="clear" w:color="auto" w:fill="FDE9D9" w:themeFill="accent6" w:themeFillTint="33"/>
            <w:vAlign w:val="center"/>
          </w:tcPr>
          <w:p w14:paraId="14D8B87B" w14:textId="77777777" w:rsidR="00E222DA" w:rsidRPr="001F5897" w:rsidRDefault="00E222DA" w:rsidP="00E222DA">
            <w:pPr>
              <w:spacing w:after="120"/>
              <w:rPr>
                <w:rFonts w:eastAsia="Calibri"/>
                <w:sz w:val="22"/>
                <w:szCs w:val="22"/>
                <w:lang w:eastAsia="en-US"/>
              </w:rPr>
            </w:pPr>
          </w:p>
        </w:tc>
        <w:tc>
          <w:tcPr>
            <w:tcW w:w="948" w:type="dxa"/>
            <w:shd w:val="clear" w:color="auto" w:fill="FDE9D9" w:themeFill="accent6" w:themeFillTint="33"/>
            <w:vAlign w:val="center"/>
          </w:tcPr>
          <w:p w14:paraId="592A0F70" w14:textId="75FA649B" w:rsidR="00E222DA" w:rsidRPr="001F5897" w:rsidRDefault="001F5897" w:rsidP="00E222DA">
            <w:pPr>
              <w:spacing w:after="120"/>
              <w:rPr>
                <w:rFonts w:eastAsia="Calibri"/>
                <w:lang w:eastAsia="en-US"/>
              </w:rPr>
            </w:pPr>
            <w:r w:rsidRPr="001F5897">
              <w:rPr>
                <w:rFonts w:eastAsia="Calibri"/>
                <w:lang w:eastAsia="en-US"/>
              </w:rPr>
              <w:t>Imposed in</w:t>
            </w:r>
            <w:r w:rsidR="00E222DA" w:rsidRPr="001F5897">
              <w:rPr>
                <w:rFonts w:eastAsia="Calibri"/>
                <w:lang w:eastAsia="en-US"/>
              </w:rPr>
              <w:t xml:space="preserve"> 2014</w:t>
            </w:r>
          </w:p>
        </w:tc>
        <w:tc>
          <w:tcPr>
            <w:tcW w:w="961" w:type="dxa"/>
            <w:shd w:val="clear" w:color="auto" w:fill="FDE9D9" w:themeFill="accent6" w:themeFillTint="33"/>
            <w:vAlign w:val="center"/>
          </w:tcPr>
          <w:p w14:paraId="3D9F23D7" w14:textId="77777777" w:rsidR="00E222DA" w:rsidRPr="001F5897" w:rsidRDefault="00E222DA" w:rsidP="00E222DA">
            <w:pPr>
              <w:spacing w:after="120"/>
              <w:rPr>
                <w:rFonts w:eastAsia="Calibri"/>
                <w:lang w:eastAsia="en-US"/>
              </w:rPr>
            </w:pPr>
            <w:r w:rsidRPr="001F5897">
              <w:rPr>
                <w:rFonts w:eastAsia="Calibri"/>
                <w:lang w:eastAsia="en-US"/>
              </w:rPr>
              <w:t>Total</w:t>
            </w:r>
          </w:p>
        </w:tc>
        <w:tc>
          <w:tcPr>
            <w:tcW w:w="1095" w:type="dxa"/>
            <w:vMerge/>
            <w:shd w:val="clear" w:color="auto" w:fill="FDE9D9" w:themeFill="accent6" w:themeFillTint="33"/>
            <w:vAlign w:val="center"/>
          </w:tcPr>
          <w:p w14:paraId="1D2EB504" w14:textId="77777777" w:rsidR="00E222DA" w:rsidRPr="001F5897" w:rsidRDefault="00E222DA" w:rsidP="00E222DA">
            <w:pPr>
              <w:spacing w:after="120"/>
              <w:rPr>
                <w:rFonts w:eastAsia="Calibri"/>
                <w:sz w:val="22"/>
                <w:szCs w:val="22"/>
                <w:lang w:eastAsia="en-US"/>
              </w:rPr>
            </w:pPr>
          </w:p>
        </w:tc>
      </w:tr>
      <w:tr w:rsidR="00E222DA" w:rsidRPr="001F5897" w14:paraId="64B87616" w14:textId="77777777" w:rsidTr="00D21CC6">
        <w:tc>
          <w:tcPr>
            <w:tcW w:w="642" w:type="dxa"/>
            <w:shd w:val="clear" w:color="auto" w:fill="FDE9D9" w:themeFill="accent6" w:themeFillTint="33"/>
            <w:vAlign w:val="center"/>
          </w:tcPr>
          <w:p w14:paraId="5B4EF5F7" w14:textId="77777777" w:rsidR="00E222DA" w:rsidRPr="001F5897" w:rsidRDefault="00E222DA" w:rsidP="00E222DA">
            <w:pPr>
              <w:spacing w:after="120"/>
              <w:rPr>
                <w:rFonts w:eastAsia="Calibri"/>
                <w:lang w:eastAsia="en-US"/>
              </w:rPr>
            </w:pPr>
            <w:r w:rsidRPr="001F5897">
              <w:rPr>
                <w:rFonts w:eastAsia="Calibri"/>
                <w:lang w:eastAsia="en-US"/>
              </w:rPr>
              <w:t>2014</w:t>
            </w:r>
          </w:p>
        </w:tc>
        <w:tc>
          <w:tcPr>
            <w:tcW w:w="1002" w:type="dxa"/>
            <w:shd w:val="clear" w:color="auto" w:fill="FDE9D9" w:themeFill="accent6" w:themeFillTint="33"/>
            <w:vAlign w:val="center"/>
          </w:tcPr>
          <w:p w14:paraId="7F3EE263"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22</w:t>
            </w:r>
          </w:p>
        </w:tc>
        <w:tc>
          <w:tcPr>
            <w:tcW w:w="1016" w:type="dxa"/>
            <w:shd w:val="clear" w:color="auto" w:fill="FDE9D9" w:themeFill="accent6" w:themeFillTint="33"/>
            <w:vAlign w:val="center"/>
          </w:tcPr>
          <w:p w14:paraId="2A7FF21E"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4</w:t>
            </w:r>
          </w:p>
        </w:tc>
        <w:tc>
          <w:tcPr>
            <w:tcW w:w="1148" w:type="dxa"/>
            <w:shd w:val="clear" w:color="auto" w:fill="FDE9D9" w:themeFill="accent6" w:themeFillTint="33"/>
            <w:vAlign w:val="center"/>
          </w:tcPr>
          <w:p w14:paraId="09783002"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13</w:t>
            </w:r>
          </w:p>
        </w:tc>
        <w:tc>
          <w:tcPr>
            <w:tcW w:w="1461" w:type="dxa"/>
            <w:shd w:val="clear" w:color="auto" w:fill="FDE9D9" w:themeFill="accent6" w:themeFillTint="33"/>
            <w:vAlign w:val="center"/>
          </w:tcPr>
          <w:p w14:paraId="62D67EA9"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5</w:t>
            </w:r>
          </w:p>
        </w:tc>
        <w:tc>
          <w:tcPr>
            <w:tcW w:w="1015" w:type="dxa"/>
            <w:shd w:val="clear" w:color="auto" w:fill="FDE9D9" w:themeFill="accent6" w:themeFillTint="33"/>
            <w:vAlign w:val="center"/>
          </w:tcPr>
          <w:p w14:paraId="59C6139A"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14.400</w:t>
            </w:r>
          </w:p>
        </w:tc>
        <w:tc>
          <w:tcPr>
            <w:tcW w:w="948" w:type="dxa"/>
            <w:shd w:val="clear" w:color="auto" w:fill="FDE9D9" w:themeFill="accent6" w:themeFillTint="33"/>
            <w:vAlign w:val="center"/>
          </w:tcPr>
          <w:p w14:paraId="1EEADE9A"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6.500</w:t>
            </w:r>
          </w:p>
        </w:tc>
        <w:tc>
          <w:tcPr>
            <w:tcW w:w="961" w:type="dxa"/>
            <w:shd w:val="clear" w:color="auto" w:fill="FDE9D9" w:themeFill="accent6" w:themeFillTint="33"/>
            <w:vAlign w:val="center"/>
          </w:tcPr>
          <w:p w14:paraId="336A83C0"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14.800</w:t>
            </w:r>
          </w:p>
        </w:tc>
        <w:tc>
          <w:tcPr>
            <w:tcW w:w="1095" w:type="dxa"/>
            <w:shd w:val="clear" w:color="auto" w:fill="FDE9D9" w:themeFill="accent6" w:themeFillTint="33"/>
            <w:vAlign w:val="center"/>
          </w:tcPr>
          <w:p w14:paraId="184D335F"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2</w:t>
            </w:r>
          </w:p>
        </w:tc>
      </w:tr>
    </w:tbl>
    <w:p w14:paraId="13971B23" w14:textId="77777777" w:rsidR="00E222DA" w:rsidRPr="001F5897" w:rsidRDefault="00E222DA" w:rsidP="00E222DA">
      <w:pPr>
        <w:spacing w:after="120"/>
        <w:ind w:firstLine="708"/>
        <w:rPr>
          <w:rFonts w:eastAsia="Calibri"/>
          <w:sz w:val="24"/>
          <w:szCs w:val="24"/>
          <w:lang w:eastAsia="en-US"/>
        </w:rPr>
      </w:pPr>
      <w:r w:rsidRPr="001F5897">
        <w:rPr>
          <w:rFonts w:eastAsia="Calibri"/>
          <w:sz w:val="24"/>
          <w:szCs w:val="24"/>
          <w:lang w:eastAsia="en-US"/>
        </w:rPr>
        <w:lastRenderedPageBreak/>
        <w:t xml:space="preserve">In addition to the 22 audits carried out in 2014 </w:t>
      </w:r>
      <w:r w:rsidRPr="001F5897">
        <w:rPr>
          <w:sz w:val="24"/>
          <w:szCs w:val="24"/>
        </w:rPr>
        <w:t>the Obliged Entities´ Audit Department also</w:t>
      </w:r>
      <w:r w:rsidRPr="001F5897">
        <w:rPr>
          <w:rFonts w:eastAsia="Calibri"/>
          <w:sz w:val="24"/>
          <w:szCs w:val="24"/>
          <w:lang w:eastAsia="en-US"/>
        </w:rPr>
        <w:t xml:space="preserve"> processed a total of 11 audits, which were not completed in 2013 and were carried over to the year 2014.  10 audits of them were completed in 2014, one of them still continues in 2015. Concerning the mentioned audits initiated in 2013 and carried over to 2014 there were 8 decisions on imposing of a sanction - a fine in a total amount of 19.500,- EUR (fines from 500,- EUR to 5.000,- EUR) issued by FSJ, 3 controls have been completed without sanctions.</w:t>
      </w:r>
    </w:p>
    <w:p w14:paraId="26F8CBD5" w14:textId="6DA8F37F" w:rsidR="00E222DA" w:rsidRPr="001F5897" w:rsidRDefault="00E222DA" w:rsidP="00E222DA">
      <w:pPr>
        <w:ind w:firstLine="708"/>
        <w:rPr>
          <w:rFonts w:eastAsia="Calibri"/>
          <w:sz w:val="24"/>
          <w:szCs w:val="24"/>
          <w:lang w:eastAsia="en-US"/>
        </w:rPr>
      </w:pPr>
      <w:r w:rsidRPr="001F5897">
        <w:rPr>
          <w:sz w:val="24"/>
          <w:szCs w:val="24"/>
        </w:rPr>
        <w:t xml:space="preserve">The most frequent audit findings that were ascertained during the performance of the audits of compliance to obligations of the obliged entities were </w:t>
      </w:r>
      <w:r w:rsidRPr="001F5897">
        <w:rPr>
          <w:rFonts w:eastAsia="Calibri"/>
          <w:sz w:val="24"/>
          <w:szCs w:val="24"/>
          <w:lang w:eastAsia="en-US"/>
        </w:rPr>
        <w:t>related to incomplete or insufficiently elaborated</w:t>
      </w:r>
      <w:r w:rsidRPr="001F5897">
        <w:rPr>
          <w:sz w:val="24"/>
          <w:szCs w:val="24"/>
        </w:rPr>
        <w:t xml:space="preserve"> program of own activity, </w:t>
      </w:r>
      <w:r w:rsidRPr="001F5897">
        <w:rPr>
          <w:rFonts w:eastAsia="Calibri"/>
          <w:sz w:val="24"/>
          <w:szCs w:val="24"/>
          <w:lang w:eastAsia="en-US"/>
        </w:rPr>
        <w:t xml:space="preserve">failure to provide necessary cooperation for the purposes of the audit, failure to exclude any action that could frustrate the conduct of the audit, failure to carry out the identification as well as verification of identification of the customer according to the extent stipulated by the </w:t>
      </w:r>
      <w:r w:rsidRPr="001F5897">
        <w:rPr>
          <w:sz w:val="24"/>
          <w:szCs w:val="24"/>
        </w:rPr>
        <w:t xml:space="preserve">AML/CFT Law, or </w:t>
      </w:r>
      <w:r w:rsidRPr="001F5897">
        <w:rPr>
          <w:rFonts w:eastAsia="Calibri"/>
          <w:sz w:val="24"/>
          <w:szCs w:val="24"/>
          <w:lang w:eastAsia="en-US"/>
        </w:rPr>
        <w:t xml:space="preserve">related to other violations of obligations, such as the obligation to establish the purpose and intended nature of the business relationship to the customer, the obligation to verify the validity of the information obtained, the obligation to determine the origin of the funds, or the obligation to refuse the conclusion of the business relationship, if the </w:t>
      </w:r>
      <w:r w:rsidRPr="001F5897">
        <w:rPr>
          <w:sz w:val="24"/>
          <w:szCs w:val="24"/>
        </w:rPr>
        <w:t>obliged entity</w:t>
      </w:r>
      <w:r w:rsidRPr="001F5897">
        <w:rPr>
          <w:rFonts w:eastAsia="Calibri"/>
          <w:sz w:val="24"/>
          <w:szCs w:val="24"/>
          <w:lang w:eastAsia="en-US"/>
        </w:rPr>
        <w:t xml:space="preserve"> </w:t>
      </w:r>
      <w:r w:rsidR="001F5897" w:rsidRPr="001F5897">
        <w:rPr>
          <w:rFonts w:eastAsia="Calibri"/>
          <w:sz w:val="24"/>
          <w:szCs w:val="24"/>
          <w:lang w:eastAsia="en-US"/>
        </w:rPr>
        <w:t>cannot</w:t>
      </w:r>
      <w:r w:rsidRPr="001F5897">
        <w:rPr>
          <w:rFonts w:eastAsia="Calibri"/>
          <w:sz w:val="24"/>
          <w:szCs w:val="24"/>
          <w:lang w:eastAsia="en-US"/>
        </w:rPr>
        <w:t xml:space="preserve"> perform diligence on the customer.</w:t>
      </w:r>
    </w:p>
    <w:p w14:paraId="31B0741C" w14:textId="77777777" w:rsidR="00E222DA" w:rsidRPr="001F5897" w:rsidRDefault="00E222DA" w:rsidP="00E222DA">
      <w:pPr>
        <w:spacing w:after="120"/>
        <w:ind w:firstLine="708"/>
        <w:rPr>
          <w:rFonts w:eastAsia="Calibri"/>
          <w:sz w:val="24"/>
          <w:szCs w:val="24"/>
          <w:lang w:eastAsia="en-US"/>
        </w:rPr>
      </w:pPr>
    </w:p>
    <w:p w14:paraId="596325D2" w14:textId="77777777" w:rsidR="00E222DA" w:rsidRPr="001F5897" w:rsidRDefault="00E222DA" w:rsidP="00E222DA">
      <w:pPr>
        <w:rPr>
          <w:rFonts w:eastAsia="Calibri"/>
          <w:lang w:eastAsia="en-US"/>
        </w:rPr>
      </w:pPr>
      <w:r w:rsidRPr="001F5897">
        <w:t>Chart No. 10: Statistical data on the controls of obliged entities for the year 2014 divided according to their subject of business</w:t>
      </w:r>
      <w:r w:rsidRPr="001F5897">
        <w:rPr>
          <w:rFonts w:eastAsia="Calibri"/>
          <w:lang w:eastAsia="en-US"/>
        </w:rPr>
        <w:t xml:space="preserve"> activity </w:t>
      </w:r>
    </w:p>
    <w:p w14:paraId="4BAEC65A" w14:textId="77777777" w:rsidR="00E222DA" w:rsidRPr="001F5897" w:rsidRDefault="00E222DA" w:rsidP="00E222DA">
      <w:pPr>
        <w:rPr>
          <w:rFonts w:eastAsia="Calibri"/>
          <w:lang w:eastAsia="en-US"/>
        </w:rPr>
      </w:pPr>
    </w:p>
    <w:tbl>
      <w:tblPr>
        <w:tblStyle w:val="Mriekatabuky1"/>
        <w:tblW w:w="0" w:type="auto"/>
        <w:jc w:val="center"/>
        <w:tblLook w:val="04A0" w:firstRow="1" w:lastRow="0" w:firstColumn="1" w:lastColumn="0" w:noHBand="0" w:noVBand="1"/>
      </w:tblPr>
      <w:tblGrid>
        <w:gridCol w:w="5242"/>
        <w:gridCol w:w="1766"/>
      </w:tblGrid>
      <w:tr w:rsidR="00E222DA" w:rsidRPr="001F5897" w14:paraId="470D4BF7"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AFC351A" w14:textId="77777777" w:rsidR="00E222DA" w:rsidRPr="001F5897" w:rsidRDefault="00E222DA" w:rsidP="00E222DA">
            <w:pPr>
              <w:jc w:val="center"/>
              <w:rPr>
                <w:rFonts w:eastAsia="Calibri"/>
                <w:b/>
                <w:sz w:val="24"/>
                <w:szCs w:val="24"/>
                <w:lang w:eastAsia="en-US"/>
              </w:rPr>
            </w:pPr>
            <w:r w:rsidRPr="001F5897">
              <w:rPr>
                <w:b/>
                <w:sz w:val="24"/>
                <w:szCs w:val="24"/>
              </w:rPr>
              <w:t>Obliged entity</w:t>
            </w:r>
            <w:r w:rsidRPr="001F5897">
              <w:rPr>
                <w:rFonts w:eastAsia="Calibri"/>
                <w:b/>
                <w:sz w:val="24"/>
                <w:szCs w:val="24"/>
                <w:lang w:eastAsia="en-US"/>
              </w:rPr>
              <w:t xml:space="preserve"> – business activity</w:t>
            </w:r>
          </w:p>
        </w:tc>
        <w:tc>
          <w:tcPr>
            <w:tcW w:w="176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88DE816" w14:textId="77777777" w:rsidR="00E222DA" w:rsidRPr="001F5897" w:rsidRDefault="00E222DA" w:rsidP="00E222DA">
            <w:pPr>
              <w:jc w:val="center"/>
              <w:rPr>
                <w:rFonts w:eastAsia="Calibri"/>
                <w:b/>
                <w:sz w:val="24"/>
                <w:szCs w:val="24"/>
                <w:lang w:eastAsia="en-US"/>
              </w:rPr>
            </w:pPr>
            <w:r w:rsidRPr="001F5897">
              <w:rPr>
                <w:b/>
                <w:sz w:val="24"/>
                <w:szCs w:val="24"/>
              </w:rPr>
              <w:t>Number of controls</w:t>
            </w:r>
          </w:p>
        </w:tc>
      </w:tr>
      <w:tr w:rsidR="00E222DA" w:rsidRPr="001F5897" w14:paraId="67102D1C"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281081" w14:textId="77777777" w:rsidR="00E222DA" w:rsidRPr="001F5897" w:rsidRDefault="00E222DA" w:rsidP="00E222DA">
            <w:pPr>
              <w:jc w:val="left"/>
              <w:rPr>
                <w:rFonts w:eastAsia="Calibri"/>
                <w:sz w:val="24"/>
                <w:lang w:eastAsia="en-US"/>
              </w:rPr>
            </w:pPr>
            <w:r w:rsidRPr="001F5897">
              <w:rPr>
                <w:sz w:val="24"/>
                <w:szCs w:val="24"/>
              </w:rPr>
              <w:t>Exchange office</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00E1388" w14:textId="77777777" w:rsidR="00E222DA" w:rsidRPr="001F5897" w:rsidRDefault="00E222DA" w:rsidP="00E222DA">
            <w:pPr>
              <w:jc w:val="center"/>
              <w:rPr>
                <w:rFonts w:eastAsia="Calibri"/>
                <w:sz w:val="24"/>
                <w:lang w:eastAsia="en-US"/>
              </w:rPr>
            </w:pPr>
            <w:r w:rsidRPr="001F5897">
              <w:rPr>
                <w:rFonts w:eastAsia="Calibri"/>
                <w:sz w:val="24"/>
                <w:lang w:eastAsia="en-US"/>
              </w:rPr>
              <w:t>1</w:t>
            </w:r>
          </w:p>
        </w:tc>
      </w:tr>
      <w:tr w:rsidR="00E222DA" w:rsidRPr="001F5897" w14:paraId="00658C3C"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29F69CE" w14:textId="77777777" w:rsidR="00E222DA" w:rsidRPr="001F5897" w:rsidRDefault="00E222DA" w:rsidP="00E222DA">
            <w:pPr>
              <w:jc w:val="left"/>
              <w:rPr>
                <w:rFonts w:eastAsia="Calibri"/>
                <w:sz w:val="24"/>
                <w:lang w:eastAsia="en-US"/>
              </w:rPr>
            </w:pPr>
            <w:r w:rsidRPr="001F5897">
              <w:rPr>
                <w:sz w:val="24"/>
                <w:szCs w:val="24"/>
              </w:rPr>
              <w:t>Real Estate Agency</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8AAED7C" w14:textId="77777777" w:rsidR="00E222DA" w:rsidRPr="001F5897" w:rsidRDefault="00E222DA" w:rsidP="00E222DA">
            <w:pPr>
              <w:jc w:val="center"/>
              <w:rPr>
                <w:rFonts w:eastAsia="Calibri"/>
                <w:sz w:val="24"/>
                <w:lang w:eastAsia="en-US"/>
              </w:rPr>
            </w:pPr>
            <w:r w:rsidRPr="001F5897">
              <w:rPr>
                <w:rFonts w:eastAsia="Calibri"/>
                <w:sz w:val="24"/>
                <w:lang w:eastAsia="en-US"/>
              </w:rPr>
              <w:t>1</w:t>
            </w:r>
          </w:p>
        </w:tc>
      </w:tr>
      <w:tr w:rsidR="00E222DA" w:rsidRPr="001F5897" w14:paraId="0DB5752F"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2C199A3" w14:textId="77777777" w:rsidR="00E222DA" w:rsidRPr="001F5897" w:rsidRDefault="00E222DA" w:rsidP="00E222DA">
            <w:pPr>
              <w:jc w:val="left"/>
              <w:rPr>
                <w:rFonts w:eastAsia="Calibri"/>
                <w:sz w:val="24"/>
                <w:lang w:eastAsia="en-US"/>
              </w:rPr>
            </w:pPr>
            <w:r w:rsidRPr="001F5897">
              <w:rPr>
                <w:sz w:val="24"/>
                <w:szCs w:val="24"/>
              </w:rPr>
              <w:t>Providing of loans</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82FD2C3" w14:textId="77777777" w:rsidR="00E222DA" w:rsidRPr="001F5897" w:rsidRDefault="00E222DA" w:rsidP="00E222DA">
            <w:pPr>
              <w:jc w:val="center"/>
              <w:rPr>
                <w:rFonts w:eastAsia="Calibri"/>
                <w:sz w:val="24"/>
                <w:lang w:eastAsia="en-US"/>
              </w:rPr>
            </w:pPr>
            <w:r w:rsidRPr="001F5897">
              <w:rPr>
                <w:rFonts w:eastAsia="Calibri"/>
                <w:sz w:val="24"/>
                <w:lang w:eastAsia="en-US"/>
              </w:rPr>
              <w:t>3</w:t>
            </w:r>
          </w:p>
        </w:tc>
      </w:tr>
      <w:tr w:rsidR="00E222DA" w:rsidRPr="001F5897" w14:paraId="0D046D4E"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55D4699" w14:textId="77777777" w:rsidR="00E222DA" w:rsidRPr="001F5897" w:rsidRDefault="00E222DA" w:rsidP="00E222DA">
            <w:pPr>
              <w:jc w:val="left"/>
              <w:rPr>
                <w:rFonts w:eastAsia="Calibri"/>
                <w:sz w:val="24"/>
                <w:lang w:eastAsia="en-US"/>
              </w:rPr>
            </w:pPr>
            <w:r w:rsidRPr="001F5897">
              <w:rPr>
                <w:rFonts w:eastAsia="Calibri"/>
                <w:sz w:val="24"/>
                <w:lang w:eastAsia="en-US"/>
              </w:rPr>
              <w:t>Financial l</w:t>
            </w:r>
            <w:r w:rsidRPr="001F5897">
              <w:rPr>
                <w:sz w:val="24"/>
              </w:rPr>
              <w:t>easing</w:t>
            </w:r>
            <w:r w:rsidRPr="001F5897">
              <w:rPr>
                <w:rFonts w:eastAsia="Calibri"/>
                <w:sz w:val="24"/>
                <w:lang w:eastAsia="en-US"/>
              </w:rPr>
              <w:t xml:space="preserve"> </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66A09BC" w14:textId="77777777" w:rsidR="00E222DA" w:rsidRPr="001F5897" w:rsidRDefault="00E222DA" w:rsidP="00E222DA">
            <w:pPr>
              <w:jc w:val="center"/>
              <w:rPr>
                <w:rFonts w:eastAsia="Calibri"/>
                <w:sz w:val="24"/>
                <w:lang w:eastAsia="en-US"/>
              </w:rPr>
            </w:pPr>
            <w:r w:rsidRPr="001F5897">
              <w:rPr>
                <w:rFonts w:eastAsia="Calibri"/>
                <w:sz w:val="24"/>
                <w:lang w:eastAsia="en-US"/>
              </w:rPr>
              <w:t>3</w:t>
            </w:r>
          </w:p>
        </w:tc>
      </w:tr>
      <w:tr w:rsidR="00E222DA" w:rsidRPr="001F5897" w14:paraId="63BDE7D1"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DE21469" w14:textId="77777777" w:rsidR="00E222DA" w:rsidRPr="001F5897" w:rsidRDefault="00E222DA" w:rsidP="00E222DA">
            <w:pPr>
              <w:jc w:val="left"/>
              <w:rPr>
                <w:rFonts w:eastAsia="Calibri"/>
                <w:sz w:val="24"/>
                <w:lang w:eastAsia="en-US"/>
              </w:rPr>
            </w:pPr>
            <w:r w:rsidRPr="001F5897">
              <w:rPr>
                <w:rFonts w:eastAsia="Calibri"/>
                <w:sz w:val="24"/>
                <w:lang w:eastAsia="en-US"/>
              </w:rPr>
              <w:t>Property corporation</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536007F" w14:textId="77777777" w:rsidR="00E222DA" w:rsidRPr="001F5897" w:rsidRDefault="00E222DA" w:rsidP="00E222DA">
            <w:pPr>
              <w:jc w:val="center"/>
              <w:rPr>
                <w:rFonts w:eastAsia="Calibri"/>
                <w:sz w:val="24"/>
                <w:lang w:eastAsia="en-US"/>
              </w:rPr>
            </w:pPr>
            <w:r w:rsidRPr="001F5897">
              <w:rPr>
                <w:rFonts w:eastAsia="Calibri"/>
                <w:sz w:val="24"/>
                <w:lang w:eastAsia="en-US"/>
              </w:rPr>
              <w:t>1</w:t>
            </w:r>
          </w:p>
        </w:tc>
      </w:tr>
      <w:tr w:rsidR="00E222DA" w:rsidRPr="001F5897" w14:paraId="1BBC654D"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7733B69" w14:textId="77777777" w:rsidR="00E222DA" w:rsidRPr="001F5897" w:rsidRDefault="00E222DA" w:rsidP="00E222DA">
            <w:pPr>
              <w:jc w:val="left"/>
              <w:rPr>
                <w:rFonts w:eastAsia="Calibri"/>
                <w:sz w:val="24"/>
                <w:lang w:eastAsia="en-US"/>
              </w:rPr>
            </w:pPr>
            <w:r w:rsidRPr="001F5897">
              <w:rPr>
                <w:rFonts w:eastAsia="Calibri"/>
                <w:sz w:val="24"/>
                <w:lang w:eastAsia="en-US"/>
              </w:rPr>
              <w:t>Advocate</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ABACFA2" w14:textId="77777777" w:rsidR="00E222DA" w:rsidRPr="001F5897" w:rsidRDefault="00E222DA" w:rsidP="00E222DA">
            <w:pPr>
              <w:jc w:val="center"/>
              <w:rPr>
                <w:rFonts w:eastAsia="Calibri"/>
                <w:sz w:val="24"/>
                <w:lang w:eastAsia="en-US"/>
              </w:rPr>
            </w:pPr>
            <w:r w:rsidRPr="001F5897">
              <w:rPr>
                <w:rFonts w:eastAsia="Calibri"/>
                <w:sz w:val="24"/>
                <w:lang w:eastAsia="en-US"/>
              </w:rPr>
              <w:t>2</w:t>
            </w:r>
          </w:p>
        </w:tc>
      </w:tr>
      <w:tr w:rsidR="00E222DA" w:rsidRPr="001F5897" w14:paraId="502DC5B5"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5870095" w14:textId="77777777" w:rsidR="00E222DA" w:rsidRPr="001F5897" w:rsidRDefault="00E222DA" w:rsidP="00E222DA">
            <w:pPr>
              <w:jc w:val="left"/>
              <w:rPr>
                <w:rFonts w:eastAsia="Calibri"/>
                <w:sz w:val="24"/>
                <w:lang w:eastAsia="en-US"/>
              </w:rPr>
            </w:pPr>
            <w:r w:rsidRPr="001F5897">
              <w:rPr>
                <w:sz w:val="24"/>
              </w:rPr>
              <w:t>Trading in receivables</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72E2427" w14:textId="77777777" w:rsidR="00E222DA" w:rsidRPr="001F5897" w:rsidRDefault="00E222DA" w:rsidP="00E222DA">
            <w:pPr>
              <w:jc w:val="center"/>
              <w:rPr>
                <w:rFonts w:eastAsia="Calibri"/>
                <w:sz w:val="24"/>
                <w:lang w:eastAsia="en-US"/>
              </w:rPr>
            </w:pPr>
            <w:r w:rsidRPr="001F5897">
              <w:rPr>
                <w:rFonts w:eastAsia="Calibri"/>
                <w:sz w:val="24"/>
                <w:lang w:eastAsia="en-US"/>
              </w:rPr>
              <w:t>1</w:t>
            </w:r>
          </w:p>
        </w:tc>
      </w:tr>
      <w:tr w:rsidR="00E222DA" w:rsidRPr="001F5897" w14:paraId="683868D3"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7068CEB" w14:textId="77777777" w:rsidR="00E222DA" w:rsidRPr="001F5897" w:rsidRDefault="00E222DA" w:rsidP="00E222DA">
            <w:pPr>
              <w:jc w:val="left"/>
              <w:rPr>
                <w:rFonts w:eastAsia="Calibri"/>
                <w:sz w:val="24"/>
                <w:lang w:eastAsia="en-US"/>
              </w:rPr>
            </w:pPr>
            <w:r w:rsidRPr="001F5897">
              <w:rPr>
                <w:rFonts w:eastAsia="Calibri"/>
                <w:sz w:val="24"/>
                <w:lang w:eastAsia="en-US"/>
              </w:rPr>
              <w:t>Bank</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158D6E2" w14:textId="77777777" w:rsidR="00E222DA" w:rsidRPr="001F5897" w:rsidRDefault="00E222DA" w:rsidP="00E222DA">
            <w:pPr>
              <w:jc w:val="center"/>
              <w:rPr>
                <w:rFonts w:eastAsia="Calibri"/>
                <w:sz w:val="24"/>
                <w:lang w:eastAsia="en-US"/>
              </w:rPr>
            </w:pPr>
            <w:r w:rsidRPr="001F5897">
              <w:rPr>
                <w:rFonts w:eastAsia="Calibri"/>
                <w:sz w:val="24"/>
                <w:lang w:eastAsia="en-US"/>
              </w:rPr>
              <w:t>1</w:t>
            </w:r>
          </w:p>
        </w:tc>
      </w:tr>
      <w:tr w:rsidR="00E222DA" w:rsidRPr="001F5897" w14:paraId="3BE3FDD3"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71A66DB" w14:textId="77777777" w:rsidR="00E222DA" w:rsidRPr="001F5897" w:rsidRDefault="00E222DA" w:rsidP="00E222DA">
            <w:pPr>
              <w:jc w:val="left"/>
              <w:rPr>
                <w:rFonts w:eastAsia="Calibri"/>
                <w:sz w:val="24"/>
                <w:lang w:eastAsia="en-US"/>
              </w:rPr>
            </w:pPr>
            <w:r w:rsidRPr="001F5897">
              <w:rPr>
                <w:sz w:val="24"/>
              </w:rPr>
              <w:t>Pawnshop</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AE8B13B" w14:textId="77777777" w:rsidR="00E222DA" w:rsidRPr="001F5897" w:rsidRDefault="00E222DA" w:rsidP="00E222DA">
            <w:pPr>
              <w:jc w:val="center"/>
              <w:rPr>
                <w:rFonts w:eastAsia="Calibri"/>
                <w:sz w:val="24"/>
                <w:lang w:eastAsia="en-US"/>
              </w:rPr>
            </w:pPr>
            <w:r w:rsidRPr="001F5897">
              <w:rPr>
                <w:rFonts w:eastAsia="Calibri"/>
                <w:sz w:val="24"/>
                <w:lang w:eastAsia="en-US"/>
              </w:rPr>
              <w:t>2</w:t>
            </w:r>
          </w:p>
        </w:tc>
      </w:tr>
      <w:tr w:rsidR="00E222DA" w:rsidRPr="001F5897" w14:paraId="683001C0"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48D55E1" w14:textId="77777777" w:rsidR="00E222DA" w:rsidRPr="001F5897" w:rsidRDefault="00E222DA" w:rsidP="00E222DA">
            <w:pPr>
              <w:jc w:val="left"/>
              <w:rPr>
                <w:rFonts w:eastAsia="Calibri"/>
                <w:sz w:val="24"/>
                <w:lang w:eastAsia="en-US"/>
              </w:rPr>
            </w:pPr>
            <w:r w:rsidRPr="001F5897">
              <w:rPr>
                <w:rFonts w:eastAsia="Calibri"/>
                <w:sz w:val="24"/>
                <w:lang w:eastAsia="en-US"/>
              </w:rPr>
              <w:t>Notary</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D24647E" w14:textId="77777777" w:rsidR="00E222DA" w:rsidRPr="001F5897" w:rsidRDefault="00E222DA" w:rsidP="00E222DA">
            <w:pPr>
              <w:jc w:val="center"/>
              <w:rPr>
                <w:rFonts w:eastAsia="Calibri"/>
                <w:sz w:val="24"/>
                <w:lang w:eastAsia="en-US"/>
              </w:rPr>
            </w:pPr>
            <w:r w:rsidRPr="001F5897">
              <w:rPr>
                <w:rFonts w:eastAsia="Calibri"/>
                <w:sz w:val="24"/>
                <w:lang w:eastAsia="en-US"/>
              </w:rPr>
              <w:t>1</w:t>
            </w:r>
          </w:p>
        </w:tc>
      </w:tr>
      <w:tr w:rsidR="00E222DA" w:rsidRPr="001F5897" w14:paraId="43913C28"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4C003A3" w14:textId="77777777" w:rsidR="00E222DA" w:rsidRPr="001F5897" w:rsidRDefault="00E222DA" w:rsidP="00E222DA">
            <w:pPr>
              <w:jc w:val="left"/>
              <w:rPr>
                <w:rFonts w:eastAsia="Calibri"/>
                <w:sz w:val="24"/>
                <w:lang w:eastAsia="en-US"/>
              </w:rPr>
            </w:pPr>
            <w:r w:rsidRPr="001F5897">
              <w:rPr>
                <w:sz w:val="24"/>
                <w:szCs w:val="24"/>
              </w:rPr>
              <w:t>Advisor of organizational and economic services</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558325F" w14:textId="77777777" w:rsidR="00E222DA" w:rsidRPr="001F5897" w:rsidRDefault="00E222DA" w:rsidP="00E222DA">
            <w:pPr>
              <w:jc w:val="center"/>
              <w:rPr>
                <w:rFonts w:eastAsia="Calibri"/>
                <w:sz w:val="24"/>
                <w:lang w:eastAsia="en-US"/>
              </w:rPr>
            </w:pPr>
            <w:r w:rsidRPr="001F5897">
              <w:rPr>
                <w:rFonts w:eastAsia="Calibri"/>
                <w:sz w:val="24"/>
                <w:lang w:eastAsia="en-US"/>
              </w:rPr>
              <w:t>1</w:t>
            </w:r>
          </w:p>
        </w:tc>
      </w:tr>
      <w:tr w:rsidR="00E222DA" w:rsidRPr="001F5897" w14:paraId="2BC64201"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5BD959C" w14:textId="77777777" w:rsidR="00E222DA" w:rsidRPr="001F5897" w:rsidRDefault="00E222DA" w:rsidP="00E222DA">
            <w:pPr>
              <w:jc w:val="left"/>
              <w:rPr>
                <w:rFonts w:eastAsia="Calibri"/>
                <w:sz w:val="24"/>
                <w:lang w:eastAsia="en-US"/>
              </w:rPr>
            </w:pPr>
            <w:r w:rsidRPr="001F5897">
              <w:rPr>
                <w:sz w:val="24"/>
              </w:rPr>
              <w:t>Financial Agent</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5215BA9" w14:textId="77777777" w:rsidR="00E222DA" w:rsidRPr="001F5897" w:rsidRDefault="00E222DA" w:rsidP="00E222DA">
            <w:pPr>
              <w:jc w:val="center"/>
              <w:rPr>
                <w:rFonts w:eastAsia="Calibri"/>
                <w:sz w:val="24"/>
                <w:lang w:eastAsia="en-US"/>
              </w:rPr>
            </w:pPr>
            <w:r w:rsidRPr="001F5897">
              <w:rPr>
                <w:rFonts w:eastAsia="Calibri"/>
                <w:sz w:val="24"/>
                <w:lang w:eastAsia="en-US"/>
              </w:rPr>
              <w:t>1</w:t>
            </w:r>
          </w:p>
        </w:tc>
      </w:tr>
      <w:tr w:rsidR="00E222DA" w:rsidRPr="001F5897" w14:paraId="03836864"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FDEF182" w14:textId="77777777" w:rsidR="00E222DA" w:rsidRPr="001F5897" w:rsidRDefault="00E222DA" w:rsidP="00E222DA">
            <w:pPr>
              <w:jc w:val="left"/>
              <w:rPr>
                <w:rFonts w:eastAsia="Calibri"/>
                <w:sz w:val="24"/>
                <w:lang w:eastAsia="en-US"/>
              </w:rPr>
            </w:pPr>
            <w:r w:rsidRPr="001F5897">
              <w:rPr>
                <w:rFonts w:eastAsia="Calibri"/>
                <w:sz w:val="24"/>
                <w:lang w:eastAsia="en-US"/>
              </w:rPr>
              <w:t>Accountant</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6E3FD90" w14:textId="77777777" w:rsidR="00E222DA" w:rsidRPr="001F5897" w:rsidRDefault="00E222DA" w:rsidP="00E222DA">
            <w:pPr>
              <w:jc w:val="center"/>
              <w:rPr>
                <w:rFonts w:eastAsia="Calibri"/>
                <w:sz w:val="24"/>
                <w:lang w:eastAsia="en-US"/>
              </w:rPr>
            </w:pPr>
            <w:r w:rsidRPr="001F5897">
              <w:rPr>
                <w:rFonts w:eastAsia="Calibri"/>
                <w:sz w:val="24"/>
                <w:lang w:eastAsia="en-US"/>
              </w:rPr>
              <w:t>1</w:t>
            </w:r>
          </w:p>
        </w:tc>
      </w:tr>
      <w:tr w:rsidR="00E222DA" w:rsidRPr="001F5897" w14:paraId="23897600"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3486718" w14:textId="77777777" w:rsidR="00E222DA" w:rsidRPr="001F5897" w:rsidRDefault="00E222DA" w:rsidP="00E222DA">
            <w:pPr>
              <w:jc w:val="left"/>
              <w:rPr>
                <w:rFonts w:eastAsia="Calibri"/>
                <w:sz w:val="24"/>
                <w:lang w:eastAsia="en-US"/>
              </w:rPr>
            </w:pPr>
            <w:r w:rsidRPr="001F5897">
              <w:rPr>
                <w:sz w:val="24"/>
                <w:szCs w:val="24"/>
              </w:rPr>
              <w:t>Gambling game operator</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BA7E858" w14:textId="77777777" w:rsidR="00E222DA" w:rsidRPr="001F5897" w:rsidRDefault="00E222DA" w:rsidP="00E222DA">
            <w:pPr>
              <w:jc w:val="center"/>
              <w:rPr>
                <w:rFonts w:eastAsia="Calibri"/>
                <w:sz w:val="24"/>
                <w:lang w:eastAsia="en-US"/>
              </w:rPr>
            </w:pPr>
            <w:r w:rsidRPr="001F5897">
              <w:rPr>
                <w:rFonts w:eastAsia="Calibri"/>
                <w:sz w:val="24"/>
                <w:lang w:eastAsia="en-US"/>
              </w:rPr>
              <w:t>1</w:t>
            </w:r>
          </w:p>
        </w:tc>
      </w:tr>
      <w:tr w:rsidR="00E222DA" w:rsidRPr="001F5897" w14:paraId="2A5DDE95"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B80A568" w14:textId="77777777" w:rsidR="00E222DA" w:rsidRPr="001F5897" w:rsidRDefault="00E222DA" w:rsidP="00E222DA">
            <w:pPr>
              <w:jc w:val="left"/>
              <w:rPr>
                <w:rFonts w:eastAsia="Calibri"/>
                <w:sz w:val="24"/>
                <w:lang w:eastAsia="en-US"/>
              </w:rPr>
            </w:pPr>
            <w:r w:rsidRPr="001F5897">
              <w:rPr>
                <w:sz w:val="24"/>
                <w:szCs w:val="24"/>
              </w:rPr>
              <w:t>Securities Sealer</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1566497" w14:textId="77777777" w:rsidR="00E222DA" w:rsidRPr="001F5897" w:rsidRDefault="00E222DA" w:rsidP="00E222DA">
            <w:pPr>
              <w:jc w:val="center"/>
              <w:rPr>
                <w:rFonts w:eastAsia="Calibri"/>
                <w:sz w:val="24"/>
                <w:lang w:eastAsia="en-US"/>
              </w:rPr>
            </w:pPr>
            <w:r w:rsidRPr="001F5897">
              <w:rPr>
                <w:rFonts w:eastAsia="Calibri"/>
                <w:sz w:val="24"/>
                <w:lang w:eastAsia="en-US"/>
              </w:rPr>
              <w:t>1</w:t>
            </w:r>
          </w:p>
        </w:tc>
      </w:tr>
      <w:tr w:rsidR="00E222DA" w:rsidRPr="001F5897" w14:paraId="6365C023" w14:textId="77777777" w:rsidTr="00D21CC6">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E30B8EB" w14:textId="77777777" w:rsidR="00E222DA" w:rsidRPr="001F5897" w:rsidRDefault="00E222DA" w:rsidP="00E222DA">
            <w:pPr>
              <w:jc w:val="left"/>
              <w:rPr>
                <w:rFonts w:eastAsia="Calibri"/>
                <w:sz w:val="24"/>
                <w:lang w:eastAsia="en-US"/>
              </w:rPr>
            </w:pPr>
            <w:r w:rsidRPr="001F5897">
              <w:rPr>
                <w:rFonts w:eastAsia="Calibri"/>
                <w:sz w:val="24"/>
                <w:lang w:eastAsia="en-US"/>
              </w:rPr>
              <w:t>Property management</w:t>
            </w:r>
          </w:p>
        </w:tc>
        <w:tc>
          <w:tcPr>
            <w:tcW w:w="1766"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E32F173" w14:textId="77777777" w:rsidR="00E222DA" w:rsidRPr="001F5897" w:rsidRDefault="00E222DA" w:rsidP="00E222DA">
            <w:pPr>
              <w:jc w:val="center"/>
              <w:rPr>
                <w:rFonts w:eastAsia="Calibri"/>
                <w:sz w:val="24"/>
                <w:lang w:eastAsia="en-US"/>
              </w:rPr>
            </w:pPr>
            <w:r w:rsidRPr="001F5897">
              <w:rPr>
                <w:rFonts w:eastAsia="Calibri"/>
                <w:sz w:val="24"/>
                <w:lang w:eastAsia="en-US"/>
              </w:rPr>
              <w:t>1</w:t>
            </w:r>
          </w:p>
        </w:tc>
      </w:tr>
    </w:tbl>
    <w:p w14:paraId="5188E61D" w14:textId="3264816A" w:rsidR="00E222DA" w:rsidRPr="001F5897" w:rsidRDefault="00E222DA" w:rsidP="00E222DA">
      <w:pPr>
        <w:spacing w:after="120"/>
        <w:rPr>
          <w:rFonts w:eastAsia="Calibri"/>
          <w:lang w:eastAsia="en-US"/>
        </w:rPr>
      </w:pPr>
    </w:p>
    <w:p w14:paraId="0BF0D9DA" w14:textId="77777777" w:rsidR="00E222DA" w:rsidRPr="001F5897" w:rsidRDefault="00E222DA" w:rsidP="00E222DA">
      <w:pPr>
        <w:spacing w:after="120"/>
        <w:rPr>
          <w:rFonts w:eastAsia="Calibri"/>
          <w:lang w:eastAsia="en-US"/>
        </w:rPr>
      </w:pPr>
      <w:r w:rsidRPr="001F5897">
        <w:t>Graph No. 3: Graphical representation of the obliged entities divided according to their subject of business</w:t>
      </w:r>
      <w:r w:rsidRPr="001F5897">
        <w:rPr>
          <w:rFonts w:eastAsia="Calibri"/>
          <w:lang w:eastAsia="en-US"/>
        </w:rPr>
        <w:t xml:space="preserve"> activity, </w:t>
      </w:r>
      <w:r w:rsidRPr="001F5897">
        <w:t xml:space="preserve">where the audits were </w:t>
      </w:r>
      <w:r w:rsidRPr="001F5897">
        <w:rPr>
          <w:rFonts w:eastAsia="Calibri"/>
          <w:lang w:eastAsia="en-US"/>
        </w:rPr>
        <w:t>carried out in the year 2014</w:t>
      </w:r>
    </w:p>
    <w:p w14:paraId="31E24894" w14:textId="484D7954" w:rsidR="00E222DA" w:rsidRPr="001F5897" w:rsidRDefault="00AC577A" w:rsidP="00E222DA">
      <w:pPr>
        <w:spacing w:after="120"/>
        <w:rPr>
          <w:rFonts w:eastAsia="Calibri"/>
          <w:sz w:val="24"/>
          <w:szCs w:val="24"/>
          <w:lang w:eastAsia="en-US"/>
        </w:rPr>
      </w:pPr>
      <w:r>
        <w:rPr>
          <w:rFonts w:eastAsia="Calibri"/>
          <w:noProof/>
          <w:lang w:val="sk-SK"/>
        </w:rPr>
        <mc:AlternateContent>
          <mc:Choice Requires="wps">
            <w:drawing>
              <wp:anchor distT="0" distB="0" distL="114300" distR="114300" simplePos="0" relativeHeight="251670528" behindDoc="0" locked="0" layoutInCell="1" allowOverlap="1" wp14:anchorId="45B791D0" wp14:editId="31F9CA58">
                <wp:simplePos x="0" y="0"/>
                <wp:positionH relativeFrom="column">
                  <wp:posOffset>4328464</wp:posOffset>
                </wp:positionH>
                <wp:positionV relativeFrom="paragraph">
                  <wp:posOffset>674370</wp:posOffset>
                </wp:positionV>
                <wp:extent cx="86995" cy="86995"/>
                <wp:effectExtent l="0" t="0" r="27305" b="27305"/>
                <wp:wrapNone/>
                <wp:docPr id="13" name="Obdĺžnik 13"/>
                <wp:cNvGraphicFramePr/>
                <a:graphic xmlns:a="http://schemas.openxmlformats.org/drawingml/2006/main">
                  <a:graphicData uri="http://schemas.microsoft.com/office/word/2010/wordprocessingShape">
                    <wps:wsp>
                      <wps:cNvSpPr/>
                      <wps:spPr>
                        <a:xfrm>
                          <a:off x="0" y="0"/>
                          <a:ext cx="86995" cy="86995"/>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13" o:spid="_x0000_s1026" style="position:absolute;margin-left:340.8pt;margin-top:53.1pt;width:6.85pt;height:6.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" fillcolor="yellow" strokecolor="black [3213]" strokeweight=".25pt"/>
            </w:pict>
          </mc:Fallback>
        </mc:AlternateContent>
      </w:r>
      <w:r>
        <w:rPr>
          <w:rFonts w:eastAsia="Calibri"/>
          <w:noProof/>
          <w:lang w:val="sk-SK"/>
        </w:rPr>
        <mc:AlternateContent>
          <mc:Choice Requires="wps">
            <w:drawing>
              <wp:anchor distT="0" distB="0" distL="114300" distR="114300" simplePos="0" relativeHeight="251666432" behindDoc="0" locked="0" layoutInCell="1" allowOverlap="1" wp14:anchorId="0647B384" wp14:editId="3A1B5D55">
                <wp:simplePos x="0" y="0"/>
                <wp:positionH relativeFrom="column">
                  <wp:posOffset>4353560</wp:posOffset>
                </wp:positionH>
                <wp:positionV relativeFrom="paragraph">
                  <wp:posOffset>126669</wp:posOffset>
                </wp:positionV>
                <wp:extent cx="86995" cy="86995"/>
                <wp:effectExtent l="0" t="0" r="27305" b="27305"/>
                <wp:wrapNone/>
                <wp:docPr id="4" name="Obdĺžnik 4"/>
                <wp:cNvGraphicFramePr/>
                <a:graphic xmlns:a="http://schemas.openxmlformats.org/drawingml/2006/main">
                  <a:graphicData uri="http://schemas.microsoft.com/office/word/2010/wordprocessingShape">
                    <wps:wsp>
                      <wps:cNvSpPr/>
                      <wps:spPr>
                        <a:xfrm>
                          <a:off x="0" y="0"/>
                          <a:ext cx="86995" cy="86995"/>
                        </a:xfrm>
                        <a:prstGeom prst="rect">
                          <a:avLst/>
                        </a:prstGeom>
                        <a:solidFill>
                          <a:srgbClr val="00B0F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4" o:spid="_x0000_s1026" style="position:absolute;margin-left:342.8pt;margin-top:9.95pt;width:6.85pt;height:6.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" fillcolor="#00b0f0" strokecolor="black [3213]" strokeweight=".25pt"/>
            </w:pict>
          </mc:Fallback>
        </mc:AlternateContent>
      </w:r>
      <w:r>
        <w:rPr>
          <w:rFonts w:eastAsia="Calibri"/>
          <w:noProof/>
          <w:lang w:val="sk-SK"/>
        </w:rPr>
        <mc:AlternateContent>
          <mc:Choice Requires="wps">
            <w:drawing>
              <wp:anchor distT="0" distB="0" distL="114300" distR="114300" simplePos="0" relativeHeight="251668480" behindDoc="0" locked="0" layoutInCell="1" allowOverlap="1" wp14:anchorId="7EBBFF63" wp14:editId="5F3469C6">
                <wp:simplePos x="0" y="0"/>
                <wp:positionH relativeFrom="column">
                  <wp:posOffset>4342130</wp:posOffset>
                </wp:positionH>
                <wp:positionV relativeFrom="paragraph">
                  <wp:posOffset>400685</wp:posOffset>
                </wp:positionV>
                <wp:extent cx="86995" cy="86995"/>
                <wp:effectExtent l="0" t="0" r="27305" b="27305"/>
                <wp:wrapNone/>
                <wp:docPr id="7" name="Obdĺžnik 7"/>
                <wp:cNvGraphicFramePr/>
                <a:graphic xmlns:a="http://schemas.openxmlformats.org/drawingml/2006/main">
                  <a:graphicData uri="http://schemas.microsoft.com/office/word/2010/wordprocessingShape">
                    <wps:wsp>
                      <wps:cNvSpPr/>
                      <wps:spPr>
                        <a:xfrm>
                          <a:off x="0" y="0"/>
                          <a:ext cx="86995" cy="86995"/>
                        </a:xfrm>
                        <a:prstGeom prst="rect">
                          <a:avLst/>
                        </a:prstGeom>
                        <a:solidFill>
                          <a:srgbClr val="FF00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7" o:spid="_x0000_s1026" style="position:absolute;margin-left:341.9pt;margin-top:31.55pt;width:6.85pt;height:6.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" fillcolor="red" strokecolor="black [3213]" strokeweight=".25pt"/>
            </w:pict>
          </mc:Fallback>
        </mc:AlternateContent>
      </w:r>
      <w:r w:rsidR="00E222DA" w:rsidRPr="001F5897">
        <w:rPr>
          <w:rFonts w:eastAsia="Calibri"/>
          <w:noProof/>
          <w:sz w:val="24"/>
          <w:szCs w:val="22"/>
          <w:lang w:val="sk-SK"/>
        </w:rPr>
        <w:drawing>
          <wp:inline distT="0" distB="0" distL="0" distR="0" wp14:anchorId="058D1733" wp14:editId="6933C185">
            <wp:extent cx="5716402" cy="2894665"/>
            <wp:effectExtent l="0" t="0" r="17780" b="2032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071B13" w14:textId="1D22F7A5" w:rsidR="00E222DA" w:rsidRPr="001F5897" w:rsidRDefault="00E222DA" w:rsidP="00E222DA">
      <w:pPr>
        <w:spacing w:after="120"/>
        <w:rPr>
          <w:rFonts w:eastAsia="Calibri"/>
          <w:sz w:val="24"/>
          <w:szCs w:val="24"/>
          <w:lang w:eastAsia="en-US"/>
        </w:rPr>
      </w:pPr>
      <w:r w:rsidRPr="001F5897">
        <w:rPr>
          <w:rFonts w:eastAsia="Calibri"/>
          <w:sz w:val="24"/>
          <w:szCs w:val="24"/>
          <w:lang w:eastAsia="en-US"/>
        </w:rPr>
        <w:tab/>
        <w:t xml:space="preserve">In order to ensure a greater effectiveness of audits with regard to the scope and certain specifics of </w:t>
      </w:r>
      <w:r w:rsidRPr="001F5897">
        <w:rPr>
          <w:sz w:val="24"/>
          <w:szCs w:val="24"/>
        </w:rPr>
        <w:t xml:space="preserve">obliged entities there are also </w:t>
      </w:r>
      <w:r w:rsidRPr="001F5897">
        <w:rPr>
          <w:rFonts w:eastAsia="Calibri"/>
          <w:sz w:val="24"/>
          <w:szCs w:val="24"/>
          <w:lang w:eastAsia="en-US"/>
        </w:rPr>
        <w:t xml:space="preserve">additional bodies - the </w:t>
      </w:r>
      <w:r w:rsidRPr="001F5897">
        <w:rPr>
          <w:sz w:val="24"/>
          <w:szCs w:val="24"/>
        </w:rPr>
        <w:t xml:space="preserve">National Bank of Slovakia (hereinafter referred to as „NBS“) </w:t>
      </w:r>
      <w:r w:rsidRPr="001F5897">
        <w:rPr>
          <w:rFonts w:eastAsia="Calibri"/>
          <w:sz w:val="24"/>
          <w:szCs w:val="24"/>
          <w:lang w:eastAsia="en-US"/>
        </w:rPr>
        <w:t xml:space="preserve">and the Ministry of Finance of the Slovak Republic </w:t>
      </w:r>
      <w:r w:rsidRPr="001F5897">
        <w:rPr>
          <w:sz w:val="24"/>
          <w:szCs w:val="24"/>
        </w:rPr>
        <w:t>(hereinafter referred to as „</w:t>
      </w:r>
      <w:proofErr w:type="spellStart"/>
      <w:r w:rsidRPr="001F5897">
        <w:rPr>
          <w:rFonts w:eastAsia="Calibri"/>
          <w:sz w:val="24"/>
          <w:szCs w:val="24"/>
          <w:lang w:eastAsia="en-US"/>
        </w:rPr>
        <w:t>MoF</w:t>
      </w:r>
      <w:proofErr w:type="spellEnd"/>
      <w:r w:rsidRPr="001F5897">
        <w:rPr>
          <w:sz w:val="24"/>
          <w:szCs w:val="24"/>
        </w:rPr>
        <w:t xml:space="preserve">“) </w:t>
      </w:r>
      <w:r w:rsidRPr="001F5897">
        <w:rPr>
          <w:rFonts w:eastAsia="Calibri"/>
          <w:sz w:val="24"/>
          <w:szCs w:val="24"/>
          <w:lang w:eastAsia="en-US"/>
        </w:rPr>
        <w:t xml:space="preserve">determined by the </w:t>
      </w:r>
      <w:r w:rsidRPr="001F5897">
        <w:rPr>
          <w:sz w:val="24"/>
          <w:szCs w:val="24"/>
        </w:rPr>
        <w:t>AML/CFT Law</w:t>
      </w:r>
      <w:r w:rsidRPr="001F5897">
        <w:rPr>
          <w:rFonts w:eastAsia="Calibri"/>
          <w:sz w:val="24"/>
          <w:szCs w:val="24"/>
          <w:lang w:eastAsia="en-US"/>
        </w:rPr>
        <w:t xml:space="preserve">, which are entitled to audit the </w:t>
      </w:r>
      <w:r w:rsidR="001F5897" w:rsidRPr="001F5897">
        <w:rPr>
          <w:rFonts w:eastAsia="Calibri"/>
          <w:sz w:val="24"/>
          <w:szCs w:val="24"/>
          <w:lang w:eastAsia="en-US"/>
        </w:rPr>
        <w:t>fulfilment</w:t>
      </w:r>
      <w:r w:rsidRPr="001F5897">
        <w:rPr>
          <w:rFonts w:eastAsia="Calibri"/>
          <w:sz w:val="24"/>
          <w:szCs w:val="24"/>
          <w:lang w:eastAsia="en-US"/>
        </w:rPr>
        <w:t xml:space="preserve"> of obligations resulting from the </w:t>
      </w:r>
      <w:r w:rsidRPr="001F5897">
        <w:rPr>
          <w:sz w:val="24"/>
          <w:szCs w:val="24"/>
        </w:rPr>
        <w:t>AML/CFT Law</w:t>
      </w:r>
      <w:r w:rsidRPr="001F5897">
        <w:rPr>
          <w:rFonts w:eastAsia="Calibri"/>
          <w:sz w:val="24"/>
          <w:szCs w:val="24"/>
          <w:lang w:eastAsia="en-US"/>
        </w:rPr>
        <w:t xml:space="preserve"> for the </w:t>
      </w:r>
      <w:r w:rsidRPr="001F5897">
        <w:rPr>
          <w:sz w:val="24"/>
          <w:szCs w:val="24"/>
        </w:rPr>
        <w:t xml:space="preserve">obliged entities falling </w:t>
      </w:r>
      <w:r w:rsidRPr="001F5897">
        <w:rPr>
          <w:rFonts w:eastAsia="Calibri"/>
          <w:sz w:val="24"/>
          <w:szCs w:val="24"/>
          <w:lang w:eastAsia="en-US"/>
        </w:rPr>
        <w:t xml:space="preserve">under their supervision. In contrast to these auditory bodies </w:t>
      </w:r>
      <w:r w:rsidRPr="001F5897">
        <w:rPr>
          <w:sz w:val="24"/>
          <w:szCs w:val="24"/>
        </w:rPr>
        <w:t>the Obliged Entities´ audit Department of FSJ</w:t>
      </w:r>
      <w:r w:rsidRPr="001F5897">
        <w:rPr>
          <w:rFonts w:eastAsia="Calibri"/>
          <w:sz w:val="24"/>
          <w:szCs w:val="24"/>
          <w:lang w:eastAsia="en-US"/>
        </w:rPr>
        <w:t xml:space="preserve"> is authorized to audit all the obliged entities. When carrying out audits the NBS and </w:t>
      </w:r>
      <w:proofErr w:type="spellStart"/>
      <w:r w:rsidRPr="001F5897">
        <w:rPr>
          <w:rFonts w:eastAsia="Calibri"/>
          <w:sz w:val="24"/>
          <w:szCs w:val="24"/>
          <w:lang w:eastAsia="en-US"/>
        </w:rPr>
        <w:t>MoF</w:t>
      </w:r>
      <w:proofErr w:type="spellEnd"/>
      <w:r w:rsidRPr="001F5897">
        <w:rPr>
          <w:rFonts w:eastAsia="Calibri"/>
          <w:sz w:val="24"/>
          <w:szCs w:val="24"/>
          <w:lang w:eastAsia="en-US"/>
        </w:rPr>
        <w:t xml:space="preserve"> are obliged to provide the FSJ with the necessary data in order to coordinate the mentioned audit and to keep the relevant statistics. The mentioned data reported to FSJ pursuant to Section 29 (4) of the </w:t>
      </w:r>
      <w:r w:rsidRPr="001F5897">
        <w:rPr>
          <w:sz w:val="24"/>
          <w:szCs w:val="24"/>
        </w:rPr>
        <w:t>AML/CFT Law</w:t>
      </w:r>
      <w:r w:rsidRPr="001F5897">
        <w:rPr>
          <w:rFonts w:eastAsia="Calibri"/>
          <w:sz w:val="24"/>
          <w:szCs w:val="24"/>
          <w:lang w:eastAsia="en-US"/>
        </w:rPr>
        <w:t xml:space="preserve"> are related to the place of business activities or registered seat, identification number and type of the obliged entity, where the audit should be carried out, as well as to results of the control </w:t>
      </w:r>
      <w:r w:rsidR="001F5897" w:rsidRPr="001F5897">
        <w:rPr>
          <w:rFonts w:eastAsia="Calibri"/>
          <w:sz w:val="24"/>
          <w:szCs w:val="24"/>
          <w:lang w:eastAsia="en-US"/>
        </w:rPr>
        <w:t>and measures</w:t>
      </w:r>
      <w:r w:rsidRPr="001F5897">
        <w:rPr>
          <w:rFonts w:eastAsia="Calibri"/>
          <w:sz w:val="24"/>
          <w:szCs w:val="24"/>
          <w:lang w:eastAsia="en-US"/>
        </w:rPr>
        <w:t xml:space="preserve"> taken after the control.</w:t>
      </w:r>
    </w:p>
    <w:p w14:paraId="18A6826B" w14:textId="0A55F398" w:rsidR="00E222DA" w:rsidRPr="001F5897" w:rsidRDefault="00E222DA" w:rsidP="00E222DA">
      <w:pPr>
        <w:rPr>
          <w:rFonts w:eastAsia="Calibri"/>
          <w:sz w:val="24"/>
          <w:szCs w:val="24"/>
          <w:lang w:eastAsia="en-US"/>
        </w:rPr>
      </w:pPr>
      <w:r w:rsidRPr="001F5897">
        <w:rPr>
          <w:rFonts w:eastAsia="Calibri"/>
          <w:sz w:val="24"/>
          <w:szCs w:val="24"/>
          <w:lang w:eastAsia="en-US"/>
        </w:rPr>
        <w:tab/>
        <w:t xml:space="preserve">In the year 2014, the FSJ received 2 notifications of audits carried out by the </w:t>
      </w:r>
      <w:proofErr w:type="spellStart"/>
      <w:r w:rsidRPr="001F5897">
        <w:rPr>
          <w:rFonts w:eastAsia="Calibri"/>
          <w:sz w:val="24"/>
          <w:szCs w:val="24"/>
          <w:lang w:eastAsia="en-US"/>
        </w:rPr>
        <w:t>MoF</w:t>
      </w:r>
      <w:proofErr w:type="spellEnd"/>
      <w:r w:rsidRPr="001F5897">
        <w:rPr>
          <w:rFonts w:eastAsia="Calibri"/>
          <w:sz w:val="24"/>
          <w:szCs w:val="24"/>
          <w:lang w:eastAsia="en-US"/>
        </w:rPr>
        <w:t xml:space="preserve"> at the </w:t>
      </w:r>
      <w:r w:rsidRPr="001F5897">
        <w:rPr>
          <w:sz w:val="24"/>
          <w:szCs w:val="24"/>
        </w:rPr>
        <w:t xml:space="preserve">obliged entities falling </w:t>
      </w:r>
      <w:r w:rsidRPr="001F5897">
        <w:rPr>
          <w:rFonts w:eastAsia="Calibri"/>
          <w:sz w:val="24"/>
          <w:szCs w:val="24"/>
          <w:lang w:eastAsia="en-US"/>
        </w:rPr>
        <w:t xml:space="preserve">under their supervision. Regarding the NBS there were 16 notifications of the planned controls reported to FSJ in 2014, which were carried out by the staff of the Office of Financial Market Supervision of NBS and 7 </w:t>
      </w:r>
      <w:r w:rsidR="001F5897" w:rsidRPr="001F5897">
        <w:rPr>
          <w:rFonts w:eastAsia="Calibri"/>
          <w:sz w:val="24"/>
          <w:szCs w:val="24"/>
          <w:lang w:eastAsia="en-US"/>
        </w:rPr>
        <w:t>announcements</w:t>
      </w:r>
      <w:r w:rsidRPr="001F5897">
        <w:rPr>
          <w:rFonts w:eastAsia="Calibri"/>
          <w:sz w:val="24"/>
          <w:szCs w:val="24"/>
          <w:lang w:eastAsia="en-US"/>
        </w:rPr>
        <w:t xml:space="preserve"> of the results of the individual audits of obliged entities supervised by the </w:t>
      </w:r>
      <w:r w:rsidRPr="001F5897">
        <w:rPr>
          <w:sz w:val="24"/>
          <w:szCs w:val="24"/>
        </w:rPr>
        <w:t>NBS</w:t>
      </w:r>
      <w:r w:rsidRPr="001F5897">
        <w:rPr>
          <w:rFonts w:eastAsia="Calibri"/>
          <w:sz w:val="24"/>
          <w:szCs w:val="24"/>
          <w:lang w:eastAsia="en-US"/>
        </w:rPr>
        <w:t>.</w:t>
      </w:r>
    </w:p>
    <w:p w14:paraId="46E60688" w14:textId="77777777" w:rsidR="00E222DA" w:rsidRPr="001F5897" w:rsidRDefault="00E222DA" w:rsidP="00E222DA">
      <w:pPr>
        <w:spacing w:after="120"/>
        <w:rPr>
          <w:rFonts w:eastAsia="Calibri"/>
          <w:lang w:eastAsia="en-US"/>
        </w:rPr>
      </w:pPr>
    </w:p>
    <w:p w14:paraId="01956A13" w14:textId="77777777" w:rsidR="00E222DA" w:rsidRPr="001F5897" w:rsidRDefault="00E222DA" w:rsidP="00E222DA">
      <w:pPr>
        <w:spacing w:after="120"/>
        <w:rPr>
          <w:rFonts w:eastAsia="Calibri"/>
          <w:lang w:eastAsia="en-US"/>
        </w:rPr>
      </w:pPr>
      <w:r w:rsidRPr="001F5897">
        <w:t xml:space="preserve">Chart No. 11: Statistical data on the controls carried out by the National Bank of Slovakia and </w:t>
      </w:r>
      <w:r w:rsidRPr="001F5897">
        <w:rPr>
          <w:bCs/>
        </w:rPr>
        <w:t>Ministry of Finance of the Slovak Republic</w:t>
      </w:r>
      <w:r w:rsidRPr="001F5897">
        <w:t xml:space="preserve"> for the year 2014</w:t>
      </w:r>
    </w:p>
    <w:tbl>
      <w:tblPr>
        <w:tblStyle w:val="Mriekatabuky1"/>
        <w:tblW w:w="0" w:type="auto"/>
        <w:tblLook w:val="04A0" w:firstRow="1" w:lastRow="0" w:firstColumn="1" w:lastColumn="0" w:noHBand="0" w:noVBand="1"/>
      </w:tblPr>
      <w:tblGrid>
        <w:gridCol w:w="3256"/>
        <w:gridCol w:w="3231"/>
        <w:gridCol w:w="2575"/>
      </w:tblGrid>
      <w:tr w:rsidR="00E222DA" w:rsidRPr="001F5897" w14:paraId="02A8A168" w14:textId="77777777" w:rsidTr="00D21CC6">
        <w:trPr>
          <w:trHeight w:val="606"/>
        </w:trPr>
        <w:tc>
          <w:tcPr>
            <w:tcW w:w="3256" w:type="dxa"/>
            <w:shd w:val="clear" w:color="auto" w:fill="CCC0D9" w:themeFill="accent4" w:themeFillTint="66"/>
            <w:vAlign w:val="center"/>
          </w:tcPr>
          <w:p w14:paraId="5C130622" w14:textId="77777777" w:rsidR="00E222DA" w:rsidRPr="001F5897" w:rsidRDefault="00E222DA" w:rsidP="00E222DA">
            <w:pPr>
              <w:jc w:val="center"/>
              <w:rPr>
                <w:rFonts w:eastAsia="Calibri"/>
                <w:b/>
                <w:sz w:val="28"/>
                <w:szCs w:val="28"/>
                <w:lang w:eastAsia="en-US"/>
              </w:rPr>
            </w:pPr>
            <w:r w:rsidRPr="001F5897">
              <w:rPr>
                <w:rFonts w:eastAsia="Calibri"/>
                <w:b/>
                <w:sz w:val="28"/>
                <w:szCs w:val="28"/>
                <w:lang w:eastAsia="en-US"/>
              </w:rPr>
              <w:t>Control authority</w:t>
            </w:r>
          </w:p>
        </w:tc>
        <w:tc>
          <w:tcPr>
            <w:tcW w:w="3231" w:type="dxa"/>
            <w:shd w:val="clear" w:color="auto" w:fill="CCC0D9" w:themeFill="accent4" w:themeFillTint="66"/>
            <w:vAlign w:val="center"/>
          </w:tcPr>
          <w:p w14:paraId="60DF3F23" w14:textId="77777777" w:rsidR="00E222DA" w:rsidRPr="001F5897" w:rsidRDefault="00E222DA" w:rsidP="00E222DA">
            <w:pPr>
              <w:jc w:val="center"/>
              <w:rPr>
                <w:rFonts w:eastAsia="Calibri"/>
                <w:b/>
                <w:sz w:val="24"/>
                <w:szCs w:val="24"/>
                <w:lang w:eastAsia="en-US"/>
              </w:rPr>
            </w:pPr>
            <w:r w:rsidRPr="001F5897">
              <w:rPr>
                <w:b/>
                <w:sz w:val="24"/>
                <w:szCs w:val="24"/>
              </w:rPr>
              <w:t>National Bank of Slovakia</w:t>
            </w:r>
          </w:p>
        </w:tc>
        <w:tc>
          <w:tcPr>
            <w:tcW w:w="2575" w:type="dxa"/>
            <w:shd w:val="clear" w:color="auto" w:fill="CCC0D9" w:themeFill="accent4" w:themeFillTint="66"/>
            <w:vAlign w:val="center"/>
          </w:tcPr>
          <w:p w14:paraId="6F85FF86" w14:textId="77777777" w:rsidR="00E222DA" w:rsidRPr="001F5897" w:rsidRDefault="00E222DA" w:rsidP="00E222DA">
            <w:pPr>
              <w:jc w:val="center"/>
              <w:rPr>
                <w:rFonts w:eastAsia="Calibri"/>
                <w:b/>
                <w:sz w:val="28"/>
                <w:szCs w:val="28"/>
                <w:lang w:eastAsia="en-US"/>
              </w:rPr>
            </w:pPr>
            <w:r w:rsidRPr="001F5897">
              <w:rPr>
                <w:b/>
                <w:bCs/>
              </w:rPr>
              <w:t>Ministry of Finance of the Slovak Republic</w:t>
            </w:r>
          </w:p>
        </w:tc>
      </w:tr>
      <w:tr w:rsidR="00E222DA" w:rsidRPr="001F5897" w14:paraId="0D90C203" w14:textId="77777777" w:rsidTr="00D21CC6">
        <w:tc>
          <w:tcPr>
            <w:tcW w:w="3256" w:type="dxa"/>
            <w:tcBorders>
              <w:bottom w:val="single" w:sz="4" w:space="0" w:color="auto"/>
            </w:tcBorders>
            <w:shd w:val="clear" w:color="auto" w:fill="F2DBDB" w:themeFill="accent2" w:themeFillTint="33"/>
          </w:tcPr>
          <w:p w14:paraId="1A44D1A6" w14:textId="77777777" w:rsidR="00E222DA" w:rsidRPr="001F5897" w:rsidRDefault="00E222DA" w:rsidP="00E222DA">
            <w:pPr>
              <w:rPr>
                <w:rFonts w:eastAsia="Calibri"/>
                <w:sz w:val="24"/>
                <w:szCs w:val="24"/>
                <w:lang w:eastAsia="en-US"/>
              </w:rPr>
            </w:pPr>
            <w:r w:rsidRPr="001F5897">
              <w:rPr>
                <w:rFonts w:eastAsia="Calibri"/>
                <w:sz w:val="24"/>
                <w:szCs w:val="24"/>
                <w:lang w:eastAsia="en-US"/>
              </w:rPr>
              <w:t xml:space="preserve">The number of notifications on the commencement of a control sent to the FSJ </w:t>
            </w:r>
          </w:p>
        </w:tc>
        <w:tc>
          <w:tcPr>
            <w:tcW w:w="3231" w:type="dxa"/>
            <w:tcBorders>
              <w:bottom w:val="single" w:sz="4" w:space="0" w:color="auto"/>
            </w:tcBorders>
            <w:shd w:val="clear" w:color="auto" w:fill="F2DBDB" w:themeFill="accent2" w:themeFillTint="33"/>
            <w:vAlign w:val="center"/>
          </w:tcPr>
          <w:p w14:paraId="5D2B8FFE" w14:textId="77777777" w:rsidR="00E222DA" w:rsidRPr="001F5897" w:rsidRDefault="00E222DA" w:rsidP="00E222DA">
            <w:pPr>
              <w:jc w:val="center"/>
              <w:rPr>
                <w:rFonts w:eastAsia="Calibri"/>
                <w:sz w:val="24"/>
                <w:szCs w:val="24"/>
                <w:lang w:eastAsia="en-US"/>
              </w:rPr>
            </w:pPr>
            <w:r w:rsidRPr="001F5897">
              <w:rPr>
                <w:rFonts w:eastAsia="Calibri"/>
                <w:sz w:val="24"/>
                <w:szCs w:val="24"/>
                <w:lang w:eastAsia="en-US"/>
              </w:rPr>
              <w:t>16</w:t>
            </w:r>
          </w:p>
        </w:tc>
        <w:tc>
          <w:tcPr>
            <w:tcW w:w="2575" w:type="dxa"/>
            <w:tcBorders>
              <w:bottom w:val="single" w:sz="4" w:space="0" w:color="auto"/>
            </w:tcBorders>
            <w:shd w:val="clear" w:color="auto" w:fill="F2DBDB" w:themeFill="accent2" w:themeFillTint="33"/>
            <w:vAlign w:val="center"/>
          </w:tcPr>
          <w:p w14:paraId="6B3FE713" w14:textId="77777777" w:rsidR="00E222DA" w:rsidRPr="001F5897" w:rsidRDefault="00E222DA" w:rsidP="00E222DA">
            <w:pPr>
              <w:jc w:val="center"/>
              <w:rPr>
                <w:rFonts w:eastAsia="Calibri"/>
                <w:sz w:val="24"/>
                <w:szCs w:val="24"/>
                <w:lang w:eastAsia="en-US"/>
              </w:rPr>
            </w:pPr>
            <w:r w:rsidRPr="001F5897">
              <w:rPr>
                <w:rFonts w:eastAsia="Calibri"/>
                <w:sz w:val="24"/>
                <w:szCs w:val="24"/>
                <w:lang w:eastAsia="en-US"/>
              </w:rPr>
              <w:t>2</w:t>
            </w:r>
          </w:p>
        </w:tc>
      </w:tr>
      <w:tr w:rsidR="00E222DA" w:rsidRPr="001F5897" w14:paraId="5500079C" w14:textId="77777777" w:rsidTr="00D21CC6">
        <w:tc>
          <w:tcPr>
            <w:tcW w:w="3256" w:type="dxa"/>
            <w:tcBorders>
              <w:bottom w:val="single" w:sz="4" w:space="0" w:color="auto"/>
            </w:tcBorders>
            <w:shd w:val="clear" w:color="auto" w:fill="F2DBDB" w:themeFill="accent2" w:themeFillTint="33"/>
          </w:tcPr>
          <w:p w14:paraId="056F952E" w14:textId="77777777" w:rsidR="00E222DA" w:rsidRPr="001F5897" w:rsidRDefault="00E222DA" w:rsidP="00E222DA">
            <w:pPr>
              <w:rPr>
                <w:rFonts w:eastAsia="Calibri"/>
                <w:sz w:val="24"/>
                <w:szCs w:val="24"/>
                <w:lang w:eastAsia="en-US"/>
              </w:rPr>
            </w:pPr>
            <w:r w:rsidRPr="001F5897">
              <w:rPr>
                <w:rFonts w:eastAsia="Calibri"/>
                <w:sz w:val="24"/>
                <w:szCs w:val="24"/>
                <w:lang w:eastAsia="en-US"/>
              </w:rPr>
              <w:t xml:space="preserve">The number of notifications on the control results sent to the FSJ </w:t>
            </w:r>
          </w:p>
        </w:tc>
        <w:tc>
          <w:tcPr>
            <w:tcW w:w="3231" w:type="dxa"/>
            <w:tcBorders>
              <w:bottom w:val="single" w:sz="4" w:space="0" w:color="auto"/>
            </w:tcBorders>
            <w:shd w:val="clear" w:color="auto" w:fill="F2DBDB" w:themeFill="accent2" w:themeFillTint="33"/>
            <w:vAlign w:val="center"/>
          </w:tcPr>
          <w:p w14:paraId="24BAC002" w14:textId="77777777" w:rsidR="00E222DA" w:rsidRPr="001F5897" w:rsidRDefault="00E222DA" w:rsidP="00E222DA">
            <w:pPr>
              <w:jc w:val="center"/>
              <w:rPr>
                <w:rFonts w:eastAsia="Calibri"/>
                <w:sz w:val="24"/>
                <w:szCs w:val="24"/>
                <w:lang w:eastAsia="en-US"/>
              </w:rPr>
            </w:pPr>
            <w:r w:rsidRPr="001F5897">
              <w:rPr>
                <w:rFonts w:eastAsia="Calibri"/>
                <w:sz w:val="24"/>
                <w:szCs w:val="24"/>
                <w:lang w:eastAsia="en-US"/>
              </w:rPr>
              <w:t>7</w:t>
            </w:r>
          </w:p>
        </w:tc>
        <w:tc>
          <w:tcPr>
            <w:tcW w:w="2575" w:type="dxa"/>
            <w:tcBorders>
              <w:bottom w:val="single" w:sz="4" w:space="0" w:color="auto"/>
            </w:tcBorders>
            <w:shd w:val="clear" w:color="auto" w:fill="F2DBDB" w:themeFill="accent2" w:themeFillTint="33"/>
            <w:vAlign w:val="center"/>
          </w:tcPr>
          <w:p w14:paraId="2B64CC58" w14:textId="77777777" w:rsidR="00E222DA" w:rsidRPr="001F5897" w:rsidRDefault="00E222DA" w:rsidP="00E222DA">
            <w:pPr>
              <w:jc w:val="center"/>
              <w:rPr>
                <w:rFonts w:eastAsia="Calibri"/>
                <w:sz w:val="24"/>
                <w:szCs w:val="24"/>
                <w:lang w:eastAsia="en-US"/>
              </w:rPr>
            </w:pPr>
            <w:r w:rsidRPr="001F5897">
              <w:rPr>
                <w:rFonts w:eastAsia="Calibri"/>
                <w:sz w:val="24"/>
                <w:szCs w:val="24"/>
                <w:lang w:eastAsia="en-US"/>
              </w:rPr>
              <w:t>0</w:t>
            </w:r>
          </w:p>
        </w:tc>
      </w:tr>
    </w:tbl>
    <w:p w14:paraId="7D30DBFC"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ab/>
      </w:r>
    </w:p>
    <w:p w14:paraId="56745D76" w14:textId="77777777" w:rsidR="00E222DA" w:rsidRPr="001F5897" w:rsidRDefault="00E222DA" w:rsidP="00E222DA">
      <w:pPr>
        <w:spacing w:after="120"/>
        <w:ind w:firstLine="708"/>
        <w:rPr>
          <w:rFonts w:eastAsia="Calibri"/>
          <w:sz w:val="24"/>
          <w:szCs w:val="24"/>
          <w:lang w:eastAsia="en-US"/>
        </w:rPr>
      </w:pPr>
      <w:r w:rsidRPr="001F5897">
        <w:rPr>
          <w:rFonts w:eastAsia="Calibri"/>
          <w:sz w:val="24"/>
          <w:szCs w:val="24"/>
          <w:lang w:eastAsia="en-US"/>
        </w:rPr>
        <w:lastRenderedPageBreak/>
        <w:t xml:space="preserve">On the ground of the mutual agreement </w:t>
      </w:r>
      <w:r w:rsidRPr="001F5897">
        <w:rPr>
          <w:sz w:val="24"/>
          <w:szCs w:val="24"/>
        </w:rPr>
        <w:t xml:space="preserve">the Obliged Entities´ Audit Department can also carry out audits at the obliged entities focused on the compliance with obligations resulting </w:t>
      </w:r>
      <w:r w:rsidRPr="001F5897">
        <w:rPr>
          <w:rFonts w:eastAsia="Calibri"/>
          <w:sz w:val="24"/>
          <w:szCs w:val="24"/>
          <w:lang w:eastAsia="en-US"/>
        </w:rPr>
        <w:t xml:space="preserve">from the </w:t>
      </w:r>
      <w:r w:rsidRPr="001F5897">
        <w:rPr>
          <w:sz w:val="24"/>
          <w:szCs w:val="24"/>
        </w:rPr>
        <w:t>AML/CFT Law</w:t>
      </w:r>
      <w:r w:rsidRPr="001F5897">
        <w:rPr>
          <w:rFonts w:eastAsia="Calibri"/>
          <w:sz w:val="24"/>
          <w:szCs w:val="24"/>
          <w:lang w:eastAsia="en-US"/>
        </w:rPr>
        <w:t xml:space="preserve"> together with NBS and </w:t>
      </w:r>
      <w:proofErr w:type="spellStart"/>
      <w:r w:rsidRPr="001F5897">
        <w:rPr>
          <w:rFonts w:eastAsia="Calibri"/>
          <w:sz w:val="24"/>
          <w:szCs w:val="24"/>
          <w:lang w:eastAsia="en-US"/>
        </w:rPr>
        <w:t>MoF</w:t>
      </w:r>
      <w:proofErr w:type="spellEnd"/>
      <w:r w:rsidRPr="001F5897">
        <w:rPr>
          <w:rFonts w:eastAsia="Calibri"/>
          <w:sz w:val="24"/>
          <w:szCs w:val="24"/>
          <w:lang w:eastAsia="en-US"/>
        </w:rPr>
        <w:t>. In 2014 such a common audit was not performed.</w:t>
      </w:r>
    </w:p>
    <w:p w14:paraId="49326EEE" w14:textId="01A68C0B" w:rsidR="00E222DA" w:rsidRPr="001F5897" w:rsidRDefault="00E222DA" w:rsidP="00E222DA">
      <w:pPr>
        <w:spacing w:after="120"/>
        <w:rPr>
          <w:rFonts w:eastAsia="Calibri"/>
          <w:sz w:val="24"/>
          <w:szCs w:val="24"/>
          <w:lang w:eastAsia="en-US"/>
        </w:rPr>
      </w:pPr>
      <w:r w:rsidRPr="001F5897">
        <w:rPr>
          <w:rFonts w:eastAsia="Calibri"/>
          <w:sz w:val="24"/>
          <w:szCs w:val="24"/>
          <w:lang w:eastAsia="en-US"/>
        </w:rPr>
        <w:tab/>
      </w:r>
      <w:r w:rsidRPr="001F5897">
        <w:rPr>
          <w:sz w:val="24"/>
          <w:szCs w:val="24"/>
        </w:rPr>
        <w:t xml:space="preserve">The Obliged Entities´ Audit Department within </w:t>
      </w:r>
      <w:r w:rsidRPr="001F5897">
        <w:rPr>
          <w:rFonts w:eastAsia="Calibri"/>
          <w:sz w:val="24"/>
          <w:szCs w:val="24"/>
          <w:lang w:eastAsia="en-US"/>
        </w:rPr>
        <w:t xml:space="preserve">its activities organizes and participates in various trainings, consultations or negotiations related to many application problems which concern the </w:t>
      </w:r>
      <w:r w:rsidR="001F5897" w:rsidRPr="001F5897">
        <w:rPr>
          <w:rFonts w:eastAsia="Calibri"/>
          <w:sz w:val="24"/>
          <w:szCs w:val="24"/>
          <w:lang w:eastAsia="en-US"/>
        </w:rPr>
        <w:t>fulfilment</w:t>
      </w:r>
      <w:r w:rsidRPr="001F5897">
        <w:rPr>
          <w:rFonts w:eastAsia="Calibri"/>
          <w:sz w:val="24"/>
          <w:szCs w:val="24"/>
          <w:lang w:eastAsia="en-US"/>
        </w:rPr>
        <w:t xml:space="preserve"> of tasks resulting from the </w:t>
      </w:r>
      <w:r w:rsidRPr="001F5897">
        <w:rPr>
          <w:sz w:val="24"/>
          <w:szCs w:val="24"/>
        </w:rPr>
        <w:t>AML/CFT Law</w:t>
      </w:r>
      <w:r w:rsidRPr="001F5897">
        <w:rPr>
          <w:rFonts w:eastAsia="Calibri"/>
          <w:sz w:val="24"/>
          <w:szCs w:val="24"/>
          <w:lang w:eastAsia="en-US"/>
        </w:rPr>
        <w:t xml:space="preserve"> for the </w:t>
      </w:r>
      <w:r w:rsidRPr="001F5897">
        <w:rPr>
          <w:sz w:val="24"/>
          <w:szCs w:val="24"/>
        </w:rPr>
        <w:t>obliged entities</w:t>
      </w:r>
      <w:r w:rsidRPr="001F5897">
        <w:rPr>
          <w:rFonts w:eastAsia="Calibri"/>
          <w:sz w:val="24"/>
          <w:szCs w:val="24"/>
          <w:lang w:eastAsia="en-US"/>
        </w:rPr>
        <w:t xml:space="preserve">. This department provides detailed advice and guidance to individual application problems, mostly upon written requests of professional organizations and associations of </w:t>
      </w:r>
      <w:r w:rsidRPr="001F5897">
        <w:rPr>
          <w:sz w:val="24"/>
          <w:szCs w:val="24"/>
        </w:rPr>
        <w:t>obliged entities</w:t>
      </w:r>
      <w:r w:rsidRPr="001F5897">
        <w:rPr>
          <w:rFonts w:eastAsia="Calibri"/>
          <w:sz w:val="24"/>
          <w:szCs w:val="24"/>
          <w:lang w:eastAsia="en-US"/>
        </w:rPr>
        <w:t>.</w:t>
      </w:r>
    </w:p>
    <w:p w14:paraId="2ED66BFD"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ab/>
        <w:t xml:space="preserve">In 2014, such activities have been carried out by the </w:t>
      </w:r>
      <w:r w:rsidRPr="001F5897">
        <w:rPr>
          <w:sz w:val="24"/>
          <w:szCs w:val="24"/>
        </w:rPr>
        <w:t>Obliged Entities´ Audit Department</w:t>
      </w:r>
      <w:r w:rsidRPr="001F5897">
        <w:rPr>
          <w:rFonts w:eastAsia="Calibri"/>
          <w:sz w:val="24"/>
          <w:szCs w:val="24"/>
          <w:lang w:eastAsia="en-US"/>
        </w:rPr>
        <w:t xml:space="preserve"> in a total of 11 cases, which concerned the training and the provision of advice, consultation or interpretations of the various provisions of the </w:t>
      </w:r>
      <w:r w:rsidRPr="001F5897">
        <w:rPr>
          <w:sz w:val="24"/>
          <w:szCs w:val="24"/>
        </w:rPr>
        <w:t>AML/CFT Law</w:t>
      </w:r>
      <w:r w:rsidRPr="001F5897">
        <w:rPr>
          <w:rFonts w:eastAsia="Calibri"/>
          <w:sz w:val="24"/>
          <w:szCs w:val="24"/>
          <w:lang w:eastAsia="en-US"/>
        </w:rPr>
        <w:t>. In the monitored period the educational services were granted to banks and other financial institutions such as the Association of Financial Intermediaries and Financial Advisers, the Slovak Banking Association and the insurance companies.</w:t>
      </w:r>
    </w:p>
    <w:p w14:paraId="72F9A658" w14:textId="77777777" w:rsidR="00E222DA" w:rsidRPr="001F5897" w:rsidRDefault="00E222DA" w:rsidP="00E222DA">
      <w:pPr>
        <w:spacing w:after="120"/>
        <w:rPr>
          <w:rFonts w:eastAsia="Calibri"/>
          <w:lang w:eastAsia="en-US"/>
        </w:rPr>
      </w:pPr>
    </w:p>
    <w:p w14:paraId="6E6F6B36" w14:textId="77777777" w:rsidR="00E222DA" w:rsidRPr="001F5897" w:rsidRDefault="00E222DA" w:rsidP="00E222DA">
      <w:pPr>
        <w:spacing w:after="120"/>
      </w:pPr>
      <w:r w:rsidRPr="001F5897">
        <w:t>Chart No. 12: Statistical overview of the activities (trainings, meetings, consultations) conducted by employees of the Obliged Entities´ Control Department of FSJ in the year 2014</w:t>
      </w:r>
    </w:p>
    <w:tbl>
      <w:tblPr>
        <w:tblStyle w:val="Mriekatabuky1"/>
        <w:tblW w:w="0" w:type="auto"/>
        <w:tblLook w:val="04A0" w:firstRow="1" w:lastRow="0" w:firstColumn="1" w:lastColumn="0" w:noHBand="0" w:noVBand="1"/>
      </w:tblPr>
      <w:tblGrid>
        <w:gridCol w:w="3539"/>
        <w:gridCol w:w="1123"/>
        <w:gridCol w:w="4531"/>
      </w:tblGrid>
      <w:tr w:rsidR="00E222DA" w:rsidRPr="001F5897" w14:paraId="5F60449C" w14:textId="77777777" w:rsidTr="00D21CC6">
        <w:trPr>
          <w:trHeight w:val="1247"/>
        </w:trPr>
        <w:tc>
          <w:tcPr>
            <w:tcW w:w="3539" w:type="dxa"/>
            <w:shd w:val="clear" w:color="auto" w:fill="FABF8F" w:themeFill="accent6" w:themeFillTint="99"/>
            <w:vAlign w:val="center"/>
          </w:tcPr>
          <w:p w14:paraId="4370F060" w14:textId="77777777" w:rsidR="00E222DA" w:rsidRPr="001F5897" w:rsidRDefault="00E222DA" w:rsidP="00E222DA">
            <w:pPr>
              <w:spacing w:after="120"/>
              <w:jc w:val="center"/>
              <w:rPr>
                <w:rFonts w:eastAsia="Calibri"/>
                <w:b/>
                <w:sz w:val="24"/>
                <w:szCs w:val="24"/>
                <w:lang w:eastAsia="en-US"/>
              </w:rPr>
            </w:pPr>
            <w:r w:rsidRPr="001F5897">
              <w:rPr>
                <w:b/>
                <w:sz w:val="24"/>
                <w:szCs w:val="24"/>
              </w:rPr>
              <w:t>Obliged entities (professional organizations), where activities were performed</w:t>
            </w:r>
          </w:p>
        </w:tc>
        <w:tc>
          <w:tcPr>
            <w:tcW w:w="992" w:type="dxa"/>
            <w:shd w:val="clear" w:color="auto" w:fill="FABF8F" w:themeFill="accent6" w:themeFillTint="99"/>
            <w:vAlign w:val="center"/>
          </w:tcPr>
          <w:p w14:paraId="5EC27328" w14:textId="77777777" w:rsidR="00E222DA" w:rsidRPr="001F5897" w:rsidRDefault="00E222DA" w:rsidP="00E222DA">
            <w:pPr>
              <w:spacing w:after="120"/>
              <w:jc w:val="center"/>
              <w:rPr>
                <w:rFonts w:eastAsia="Calibri"/>
                <w:b/>
                <w:sz w:val="24"/>
                <w:szCs w:val="24"/>
                <w:lang w:eastAsia="en-US"/>
              </w:rPr>
            </w:pPr>
            <w:r w:rsidRPr="001F5897">
              <w:rPr>
                <w:rFonts w:eastAsia="Calibri"/>
                <w:b/>
                <w:sz w:val="24"/>
                <w:szCs w:val="24"/>
                <w:lang w:eastAsia="en-US"/>
              </w:rPr>
              <w:t>Number of activities</w:t>
            </w:r>
          </w:p>
        </w:tc>
        <w:tc>
          <w:tcPr>
            <w:tcW w:w="4531" w:type="dxa"/>
            <w:shd w:val="clear" w:color="auto" w:fill="FABF8F" w:themeFill="accent6" w:themeFillTint="99"/>
            <w:vAlign w:val="center"/>
          </w:tcPr>
          <w:p w14:paraId="64C8AF07" w14:textId="77777777" w:rsidR="00E222DA" w:rsidRPr="001F5897" w:rsidRDefault="00E222DA" w:rsidP="00E222DA">
            <w:pPr>
              <w:jc w:val="center"/>
              <w:rPr>
                <w:rFonts w:eastAsia="Calibri"/>
                <w:b/>
                <w:sz w:val="24"/>
                <w:szCs w:val="24"/>
                <w:lang w:eastAsia="en-US"/>
              </w:rPr>
            </w:pPr>
            <w:r w:rsidRPr="001F5897">
              <w:rPr>
                <w:rFonts w:eastAsia="Calibri"/>
                <w:b/>
                <w:sz w:val="24"/>
                <w:szCs w:val="24"/>
                <w:lang w:eastAsia="en-US"/>
              </w:rPr>
              <w:t xml:space="preserve">Theme </w:t>
            </w:r>
          </w:p>
          <w:p w14:paraId="01EF9629" w14:textId="77777777" w:rsidR="00E222DA" w:rsidRPr="001F5897" w:rsidRDefault="00E222DA" w:rsidP="00E222DA">
            <w:pPr>
              <w:spacing w:after="120"/>
              <w:jc w:val="center"/>
              <w:rPr>
                <w:rFonts w:eastAsia="Calibri"/>
                <w:b/>
                <w:sz w:val="24"/>
                <w:szCs w:val="24"/>
                <w:lang w:eastAsia="en-US"/>
              </w:rPr>
            </w:pPr>
            <w:r w:rsidRPr="001F5897">
              <w:rPr>
                <w:rFonts w:eastAsia="Calibri"/>
                <w:b/>
                <w:sz w:val="24"/>
                <w:szCs w:val="24"/>
                <w:lang w:eastAsia="en-US"/>
              </w:rPr>
              <w:t xml:space="preserve">of the </w:t>
            </w:r>
            <w:r w:rsidRPr="001F5897">
              <w:rPr>
                <w:b/>
                <w:sz w:val="24"/>
                <w:szCs w:val="24"/>
              </w:rPr>
              <w:t>trainings, meetings, consultations</w:t>
            </w:r>
          </w:p>
        </w:tc>
      </w:tr>
      <w:tr w:rsidR="00E222DA" w:rsidRPr="001F5897" w14:paraId="3FA4A53D" w14:textId="77777777" w:rsidTr="00D21CC6">
        <w:trPr>
          <w:trHeight w:val="1247"/>
        </w:trPr>
        <w:tc>
          <w:tcPr>
            <w:tcW w:w="3539" w:type="dxa"/>
            <w:shd w:val="clear" w:color="auto" w:fill="FDE9D9" w:themeFill="accent6" w:themeFillTint="33"/>
            <w:vAlign w:val="center"/>
          </w:tcPr>
          <w:p w14:paraId="0B350AD7"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Banks</w:t>
            </w:r>
          </w:p>
        </w:tc>
        <w:tc>
          <w:tcPr>
            <w:tcW w:w="992" w:type="dxa"/>
            <w:shd w:val="clear" w:color="auto" w:fill="FDE9D9" w:themeFill="accent6" w:themeFillTint="33"/>
            <w:vAlign w:val="center"/>
          </w:tcPr>
          <w:p w14:paraId="0CED8F62"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5</w:t>
            </w:r>
          </w:p>
        </w:tc>
        <w:tc>
          <w:tcPr>
            <w:tcW w:w="4531" w:type="dxa"/>
            <w:shd w:val="clear" w:color="auto" w:fill="FDE9D9" w:themeFill="accent6" w:themeFillTint="33"/>
            <w:vAlign w:val="center"/>
          </w:tcPr>
          <w:p w14:paraId="10A25BB3"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 xml:space="preserve">Application problems in applying the </w:t>
            </w:r>
            <w:r w:rsidRPr="001F5897">
              <w:rPr>
                <w:sz w:val="24"/>
                <w:szCs w:val="24"/>
              </w:rPr>
              <w:t>AML/CFT Law</w:t>
            </w:r>
            <w:r w:rsidRPr="001F5897">
              <w:rPr>
                <w:rFonts w:eastAsia="Calibri"/>
                <w:sz w:val="24"/>
                <w:szCs w:val="24"/>
                <w:lang w:eastAsia="en-US"/>
              </w:rPr>
              <w:t>, the issue of an agent of payment services, the issue of unauthorized business in the case of an investment company, processing of UTRs for FSJ</w:t>
            </w:r>
          </w:p>
        </w:tc>
      </w:tr>
      <w:tr w:rsidR="00E222DA" w:rsidRPr="001F5897" w14:paraId="4669EF81" w14:textId="77777777" w:rsidTr="00D21CC6">
        <w:trPr>
          <w:trHeight w:val="1247"/>
        </w:trPr>
        <w:tc>
          <w:tcPr>
            <w:tcW w:w="3539" w:type="dxa"/>
            <w:shd w:val="clear" w:color="auto" w:fill="FDE9D9" w:themeFill="accent6" w:themeFillTint="33"/>
            <w:vAlign w:val="center"/>
          </w:tcPr>
          <w:p w14:paraId="2A63EC61"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Insurance company</w:t>
            </w:r>
          </w:p>
        </w:tc>
        <w:tc>
          <w:tcPr>
            <w:tcW w:w="992" w:type="dxa"/>
            <w:shd w:val="clear" w:color="auto" w:fill="FDE9D9" w:themeFill="accent6" w:themeFillTint="33"/>
            <w:vAlign w:val="center"/>
          </w:tcPr>
          <w:p w14:paraId="56700932"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1</w:t>
            </w:r>
          </w:p>
        </w:tc>
        <w:tc>
          <w:tcPr>
            <w:tcW w:w="4531" w:type="dxa"/>
            <w:shd w:val="clear" w:color="auto" w:fill="FDE9D9" w:themeFill="accent6" w:themeFillTint="33"/>
            <w:vAlign w:val="center"/>
          </w:tcPr>
          <w:p w14:paraId="231DB9B4"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 xml:space="preserve">Application problems in applying the </w:t>
            </w:r>
            <w:r w:rsidRPr="001F5897">
              <w:rPr>
                <w:sz w:val="24"/>
                <w:szCs w:val="24"/>
              </w:rPr>
              <w:t>AML/CFT Law</w:t>
            </w:r>
            <w:r w:rsidRPr="001F5897">
              <w:rPr>
                <w:rFonts w:eastAsia="Calibri"/>
                <w:sz w:val="24"/>
                <w:szCs w:val="24"/>
                <w:lang w:eastAsia="en-US"/>
              </w:rPr>
              <w:t xml:space="preserve">, guidelines in the field of insurance companies obligations </w:t>
            </w:r>
          </w:p>
        </w:tc>
      </w:tr>
      <w:tr w:rsidR="00E222DA" w:rsidRPr="001F5897" w14:paraId="67BF2418" w14:textId="77777777" w:rsidTr="00D21CC6">
        <w:trPr>
          <w:trHeight w:val="1247"/>
        </w:trPr>
        <w:tc>
          <w:tcPr>
            <w:tcW w:w="3539" w:type="dxa"/>
            <w:shd w:val="clear" w:color="auto" w:fill="FDE9D9" w:themeFill="accent6" w:themeFillTint="33"/>
            <w:vAlign w:val="center"/>
          </w:tcPr>
          <w:p w14:paraId="6915FBC8"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Slovak Banking Association</w:t>
            </w:r>
          </w:p>
        </w:tc>
        <w:tc>
          <w:tcPr>
            <w:tcW w:w="992" w:type="dxa"/>
            <w:shd w:val="clear" w:color="auto" w:fill="FDE9D9" w:themeFill="accent6" w:themeFillTint="33"/>
            <w:vAlign w:val="center"/>
          </w:tcPr>
          <w:p w14:paraId="0B691248"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1</w:t>
            </w:r>
          </w:p>
        </w:tc>
        <w:tc>
          <w:tcPr>
            <w:tcW w:w="4531" w:type="dxa"/>
            <w:shd w:val="clear" w:color="auto" w:fill="FDE9D9" w:themeFill="accent6" w:themeFillTint="33"/>
            <w:vAlign w:val="center"/>
          </w:tcPr>
          <w:p w14:paraId="58EF19D7"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 xml:space="preserve">Application problems in applying the </w:t>
            </w:r>
            <w:r w:rsidRPr="001F5897">
              <w:rPr>
                <w:sz w:val="24"/>
                <w:szCs w:val="24"/>
              </w:rPr>
              <w:t>AML/CFT Law</w:t>
            </w:r>
          </w:p>
        </w:tc>
      </w:tr>
      <w:tr w:rsidR="00E222DA" w:rsidRPr="001F5897" w14:paraId="753ACC99" w14:textId="77777777" w:rsidTr="00D21CC6">
        <w:trPr>
          <w:trHeight w:val="1247"/>
        </w:trPr>
        <w:tc>
          <w:tcPr>
            <w:tcW w:w="3539" w:type="dxa"/>
            <w:shd w:val="clear" w:color="auto" w:fill="FDE9D9" w:themeFill="accent6" w:themeFillTint="33"/>
            <w:vAlign w:val="center"/>
          </w:tcPr>
          <w:p w14:paraId="2AD8A880" w14:textId="77777777" w:rsidR="00E222DA" w:rsidRPr="001F5897" w:rsidRDefault="00E222DA" w:rsidP="00E222DA">
            <w:pPr>
              <w:jc w:val="left"/>
              <w:rPr>
                <w:rFonts w:eastAsia="Calibri"/>
                <w:sz w:val="24"/>
                <w:szCs w:val="24"/>
                <w:lang w:eastAsia="en-US"/>
              </w:rPr>
            </w:pPr>
            <w:r w:rsidRPr="001F5897">
              <w:rPr>
                <w:rFonts w:eastAsia="Calibri"/>
                <w:sz w:val="24"/>
                <w:szCs w:val="24"/>
                <w:lang w:eastAsia="en-US"/>
              </w:rPr>
              <w:t xml:space="preserve">Association of financial intermediaries </w:t>
            </w:r>
          </w:p>
          <w:p w14:paraId="54C51309" w14:textId="77777777" w:rsidR="00E222DA" w:rsidRPr="001F5897" w:rsidRDefault="00E222DA" w:rsidP="00E222DA">
            <w:pPr>
              <w:jc w:val="left"/>
              <w:rPr>
                <w:rFonts w:eastAsia="Calibri"/>
                <w:sz w:val="24"/>
                <w:szCs w:val="24"/>
                <w:lang w:eastAsia="en-US"/>
              </w:rPr>
            </w:pPr>
            <w:r w:rsidRPr="001F5897">
              <w:rPr>
                <w:rFonts w:eastAsia="Calibri"/>
                <w:sz w:val="24"/>
                <w:szCs w:val="24"/>
                <w:lang w:eastAsia="en-US"/>
              </w:rPr>
              <w:t>and financial advisors</w:t>
            </w:r>
          </w:p>
        </w:tc>
        <w:tc>
          <w:tcPr>
            <w:tcW w:w="992" w:type="dxa"/>
            <w:shd w:val="clear" w:color="auto" w:fill="FDE9D9" w:themeFill="accent6" w:themeFillTint="33"/>
            <w:vAlign w:val="center"/>
          </w:tcPr>
          <w:p w14:paraId="277826A0"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1</w:t>
            </w:r>
          </w:p>
        </w:tc>
        <w:tc>
          <w:tcPr>
            <w:tcW w:w="4531" w:type="dxa"/>
            <w:shd w:val="clear" w:color="auto" w:fill="FDE9D9" w:themeFill="accent6" w:themeFillTint="33"/>
            <w:vAlign w:val="center"/>
          </w:tcPr>
          <w:p w14:paraId="476E803F"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 xml:space="preserve">Application problems in applying the </w:t>
            </w:r>
            <w:r w:rsidRPr="001F5897">
              <w:rPr>
                <w:sz w:val="24"/>
                <w:szCs w:val="24"/>
              </w:rPr>
              <w:t>AML/CFT Law</w:t>
            </w:r>
            <w:r w:rsidRPr="001F5897">
              <w:rPr>
                <w:rFonts w:eastAsia="Calibri"/>
                <w:sz w:val="24"/>
                <w:szCs w:val="24"/>
                <w:lang w:eastAsia="en-US"/>
              </w:rPr>
              <w:t xml:space="preserve">, </w:t>
            </w:r>
            <w:r w:rsidRPr="001F5897">
              <w:rPr>
                <w:sz w:val="24"/>
                <w:szCs w:val="24"/>
              </w:rPr>
              <w:t>consultations</w:t>
            </w:r>
            <w:r w:rsidRPr="001F5897">
              <w:rPr>
                <w:rFonts w:eastAsia="Calibri"/>
                <w:sz w:val="24"/>
                <w:szCs w:val="24"/>
                <w:lang w:eastAsia="en-US"/>
              </w:rPr>
              <w:t xml:space="preserve"> focused on  the obliged entities own activity programs and on the customer due diligence</w:t>
            </w:r>
          </w:p>
        </w:tc>
      </w:tr>
      <w:tr w:rsidR="00E222DA" w:rsidRPr="001F5897" w14:paraId="3522F89D" w14:textId="77777777" w:rsidTr="00D21CC6">
        <w:trPr>
          <w:trHeight w:val="1247"/>
        </w:trPr>
        <w:tc>
          <w:tcPr>
            <w:tcW w:w="3539" w:type="dxa"/>
            <w:shd w:val="clear" w:color="auto" w:fill="FDE9D9" w:themeFill="accent6" w:themeFillTint="33"/>
            <w:vAlign w:val="center"/>
          </w:tcPr>
          <w:p w14:paraId="6BC7F002"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Institute of Banking Education</w:t>
            </w:r>
          </w:p>
        </w:tc>
        <w:tc>
          <w:tcPr>
            <w:tcW w:w="992" w:type="dxa"/>
            <w:shd w:val="clear" w:color="auto" w:fill="FDE9D9" w:themeFill="accent6" w:themeFillTint="33"/>
            <w:vAlign w:val="center"/>
          </w:tcPr>
          <w:p w14:paraId="704F6240" w14:textId="77777777" w:rsidR="00E222DA" w:rsidRPr="001F5897" w:rsidRDefault="00E222DA" w:rsidP="00E222DA">
            <w:pPr>
              <w:spacing w:after="120"/>
              <w:jc w:val="center"/>
              <w:rPr>
                <w:rFonts w:eastAsia="Calibri"/>
                <w:sz w:val="24"/>
                <w:szCs w:val="24"/>
                <w:lang w:eastAsia="en-US"/>
              </w:rPr>
            </w:pPr>
            <w:r w:rsidRPr="001F5897">
              <w:rPr>
                <w:rFonts w:eastAsia="Calibri"/>
                <w:sz w:val="24"/>
                <w:szCs w:val="24"/>
                <w:lang w:eastAsia="en-US"/>
              </w:rPr>
              <w:t>1</w:t>
            </w:r>
          </w:p>
        </w:tc>
        <w:tc>
          <w:tcPr>
            <w:tcW w:w="4531" w:type="dxa"/>
            <w:shd w:val="clear" w:color="auto" w:fill="FDE9D9" w:themeFill="accent6" w:themeFillTint="33"/>
            <w:vAlign w:val="center"/>
          </w:tcPr>
          <w:p w14:paraId="30793640"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 xml:space="preserve">Application problems in applying the </w:t>
            </w:r>
            <w:r w:rsidRPr="001F5897">
              <w:rPr>
                <w:sz w:val="24"/>
                <w:szCs w:val="24"/>
              </w:rPr>
              <w:t>AML/CFT Law</w:t>
            </w:r>
            <w:r w:rsidRPr="001F5897">
              <w:rPr>
                <w:rFonts w:eastAsia="Calibri"/>
                <w:sz w:val="24"/>
                <w:szCs w:val="24"/>
                <w:lang w:eastAsia="en-US"/>
              </w:rPr>
              <w:t>, training focused on the customer due diligence, control and on the UTRs</w:t>
            </w:r>
          </w:p>
        </w:tc>
      </w:tr>
    </w:tbl>
    <w:p w14:paraId="19A85DD4" w14:textId="77777777" w:rsidR="00E222DA" w:rsidRPr="001F5897" w:rsidRDefault="00E222DA" w:rsidP="00E222DA">
      <w:pPr>
        <w:spacing w:after="120"/>
        <w:rPr>
          <w:rFonts w:eastAsia="Calibri"/>
          <w:sz w:val="24"/>
          <w:szCs w:val="24"/>
          <w:lang w:eastAsia="en-US"/>
        </w:rPr>
      </w:pPr>
    </w:p>
    <w:p w14:paraId="6B2449BB"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lastRenderedPageBreak/>
        <w:tab/>
        <w:t xml:space="preserve">The activities carried out by the </w:t>
      </w:r>
      <w:r w:rsidRPr="001F5897">
        <w:rPr>
          <w:sz w:val="24"/>
          <w:szCs w:val="24"/>
        </w:rPr>
        <w:t>Obliged Entities´ Audit Department</w:t>
      </w:r>
      <w:r w:rsidRPr="001F5897">
        <w:rPr>
          <w:rFonts w:eastAsia="Calibri"/>
          <w:sz w:val="24"/>
          <w:szCs w:val="24"/>
          <w:lang w:eastAsia="en-US"/>
        </w:rPr>
        <w:t xml:space="preserve">, which have not been quantified above, also include the participation of the employees of the department in meetings with representatives of the NBS concerning the mutual cooperation with the FSJ in the supervisions of financial institutions, or sphere of activity of agents of foreign payment services and the possibilities of their legal actions as obliged entities under the </w:t>
      </w:r>
      <w:r w:rsidRPr="001F5897">
        <w:rPr>
          <w:sz w:val="24"/>
          <w:szCs w:val="24"/>
        </w:rPr>
        <w:t>AML/CFT Law</w:t>
      </w:r>
      <w:r w:rsidRPr="001F5897">
        <w:rPr>
          <w:rFonts w:eastAsia="Calibri"/>
          <w:sz w:val="24"/>
          <w:szCs w:val="24"/>
          <w:lang w:eastAsia="en-US"/>
        </w:rPr>
        <w:t>. The FSJ cooperates with the NBS on the ground of the Agreement on Mutual Cooperation concluded between the NBS and the Ministry of Interior of the Slovak Republic in 2013.</w:t>
      </w:r>
    </w:p>
    <w:p w14:paraId="6A2D8238"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ab/>
        <w:t xml:space="preserve">Within the further activities of </w:t>
      </w:r>
      <w:r w:rsidRPr="001F5897">
        <w:rPr>
          <w:sz w:val="24"/>
          <w:szCs w:val="24"/>
        </w:rPr>
        <w:t>Obliged Entities´ Audit Department</w:t>
      </w:r>
      <w:r w:rsidRPr="001F5897">
        <w:rPr>
          <w:rFonts w:eastAsia="Calibri"/>
          <w:sz w:val="24"/>
          <w:szCs w:val="24"/>
          <w:lang w:eastAsia="en-US"/>
        </w:rPr>
        <w:t xml:space="preserve"> in 2014 it is necessary to mention the activities of the legislative process by applying of specific comments to the draft of the Law on Emissions Trading, sending a statement to the draft of regulation of the Government of the Slovak Republic, establishing the cooperation of the national administrator with the competent authorities and reporting obligation in the suspected cases of money laundering, terrorist financing or other criminal activity, or negotiations regarding the accession of FSJ to the Treaty of cooperation and technical assistance in the pilot operation between the commercial banks and the Ministry of Interior of the Slovak Republic.</w:t>
      </w:r>
    </w:p>
    <w:p w14:paraId="6EE97EC6" w14:textId="77777777" w:rsidR="00E222DA" w:rsidRPr="001F5897" w:rsidRDefault="00E222DA" w:rsidP="00E222DA">
      <w:pPr>
        <w:spacing w:after="120"/>
        <w:rPr>
          <w:rFonts w:eastAsia="Calibri"/>
          <w:sz w:val="24"/>
          <w:szCs w:val="24"/>
          <w:lang w:eastAsia="en-US"/>
        </w:rPr>
      </w:pPr>
    </w:p>
    <w:p w14:paraId="0EB1695E" w14:textId="77777777" w:rsidR="00E222DA" w:rsidRPr="001F5897" w:rsidRDefault="00E222DA" w:rsidP="00E222DA">
      <w:pPr>
        <w:jc w:val="center"/>
        <w:rPr>
          <w:rFonts w:eastAsia="Calibri"/>
          <w:b/>
          <w:sz w:val="28"/>
          <w:szCs w:val="28"/>
        </w:rPr>
      </w:pPr>
      <w:bookmarkStart w:id="5" w:name="_Toc412466390"/>
      <w:r w:rsidRPr="001F5897">
        <w:rPr>
          <w:rFonts w:eastAsia="Calibri"/>
          <w:b/>
          <w:sz w:val="28"/>
          <w:szCs w:val="28"/>
        </w:rPr>
        <w:t xml:space="preserve">4. </w:t>
      </w:r>
      <w:bookmarkEnd w:id="5"/>
      <w:r w:rsidRPr="001F5897">
        <w:rPr>
          <w:b/>
          <w:sz w:val="28"/>
          <w:szCs w:val="28"/>
        </w:rPr>
        <w:t>International cooperation</w:t>
      </w:r>
    </w:p>
    <w:p w14:paraId="47240328" w14:textId="77777777" w:rsidR="00E222DA" w:rsidRPr="001F5897" w:rsidRDefault="00E222DA" w:rsidP="00E222DA">
      <w:pPr>
        <w:spacing w:after="120"/>
        <w:rPr>
          <w:rFonts w:eastAsia="Calibri"/>
          <w:sz w:val="24"/>
          <w:szCs w:val="24"/>
          <w:lang w:eastAsia="en-US"/>
        </w:rPr>
      </w:pPr>
    </w:p>
    <w:p w14:paraId="4B99DE5C" w14:textId="77777777" w:rsidR="00E222DA" w:rsidRPr="001F5897" w:rsidRDefault="00E222DA" w:rsidP="00E222DA">
      <w:pPr>
        <w:spacing w:after="120"/>
        <w:rPr>
          <w:rFonts w:eastAsia="Calibri"/>
          <w:sz w:val="24"/>
          <w:szCs w:val="24"/>
          <w:lang w:eastAsia="en-US"/>
        </w:rPr>
      </w:pPr>
      <w:r w:rsidRPr="001F5897">
        <w:rPr>
          <w:rFonts w:eastAsia="Calibri"/>
          <w:sz w:val="24"/>
          <w:szCs w:val="24"/>
          <w:lang w:eastAsia="en-US"/>
        </w:rPr>
        <w:tab/>
        <w:t xml:space="preserve">International cooperation is one of the pillars of the FSJ activities, because the removal of barriers on the internal market allowed not only the establishment and development of legal business entities within the European Union, but also made a room for </w:t>
      </w:r>
      <w:r w:rsidRPr="001F5897">
        <w:rPr>
          <w:sz w:val="24"/>
          <w:szCs w:val="24"/>
        </w:rPr>
        <w:t xml:space="preserve">legalization of proceeds of criminal activity </w:t>
      </w:r>
      <w:r w:rsidRPr="001F5897">
        <w:rPr>
          <w:rFonts w:eastAsia="Calibri"/>
          <w:sz w:val="24"/>
          <w:szCs w:val="24"/>
          <w:lang w:eastAsia="en-US"/>
        </w:rPr>
        <w:t>and financing of terrorism. The criminals involved in money laundering activities seek to conceal or disguise the real nature, source or ownership of the real property and to transform it into seemingly legitimate incomes, not only at the national level, but increasingly also at the international level.</w:t>
      </w:r>
    </w:p>
    <w:p w14:paraId="68F45E8A" w14:textId="748D623B" w:rsidR="00E222DA" w:rsidRPr="001F5897" w:rsidRDefault="00E222DA" w:rsidP="00E222DA">
      <w:pPr>
        <w:spacing w:after="120"/>
        <w:ind w:firstLine="708"/>
        <w:rPr>
          <w:rFonts w:eastAsia="Calibri"/>
          <w:sz w:val="24"/>
          <w:szCs w:val="24"/>
          <w:lang w:eastAsia="en-US"/>
        </w:rPr>
      </w:pPr>
      <w:r w:rsidRPr="001F5897">
        <w:rPr>
          <w:rFonts w:eastAsia="Calibri"/>
          <w:sz w:val="24"/>
          <w:szCs w:val="24"/>
          <w:lang w:eastAsia="en-US"/>
        </w:rPr>
        <w:t xml:space="preserve">Due to the international nature of the crime of </w:t>
      </w:r>
      <w:r w:rsidRPr="001F5897">
        <w:rPr>
          <w:sz w:val="24"/>
          <w:szCs w:val="24"/>
        </w:rPr>
        <w:t>legalization of proceeds of criminal activity</w:t>
      </w:r>
      <w:r w:rsidR="00D27D22" w:rsidRPr="001F5897">
        <w:rPr>
          <w:sz w:val="24"/>
          <w:szCs w:val="24"/>
        </w:rPr>
        <w:t>, an</w:t>
      </w:r>
      <w:r w:rsidRPr="001F5897">
        <w:rPr>
          <w:rFonts w:eastAsia="Calibri"/>
          <w:sz w:val="24"/>
          <w:szCs w:val="24"/>
          <w:lang w:eastAsia="en-US"/>
        </w:rPr>
        <w:t xml:space="preserve"> efficient cross-border fight against this kind of crime requires a joint effort of all the cooperating subjects. Also thanks to the efforts and activities of the </w:t>
      </w:r>
      <w:r w:rsidRPr="001F5897">
        <w:rPr>
          <w:sz w:val="24"/>
          <w:szCs w:val="24"/>
        </w:rPr>
        <w:t>International Cooperation Department,</w:t>
      </w:r>
      <w:r w:rsidRPr="001F5897">
        <w:rPr>
          <w:rFonts w:eastAsia="Calibri"/>
          <w:sz w:val="24"/>
          <w:szCs w:val="24"/>
          <w:lang w:eastAsia="en-US"/>
        </w:rPr>
        <w:t xml:space="preserve"> the FSJ is a part of this effective fight and plays an indispensable role in the international area of combating money laundering.</w:t>
      </w:r>
    </w:p>
    <w:p w14:paraId="01DBBC4A" w14:textId="77777777" w:rsidR="00E222DA" w:rsidRPr="001F5897" w:rsidRDefault="00E222DA" w:rsidP="00E222DA">
      <w:pPr>
        <w:spacing w:after="120"/>
        <w:ind w:firstLine="708"/>
        <w:rPr>
          <w:rFonts w:eastAsia="Calibri"/>
          <w:sz w:val="24"/>
          <w:szCs w:val="24"/>
          <w:lang w:eastAsia="en-US"/>
        </w:rPr>
      </w:pPr>
      <w:r w:rsidRPr="001F5897">
        <w:rPr>
          <w:rFonts w:eastAsia="Calibri"/>
          <w:sz w:val="24"/>
          <w:szCs w:val="24"/>
          <w:lang w:eastAsia="en-US"/>
        </w:rPr>
        <w:t xml:space="preserve">For the purpose of ensuring the exchange of </w:t>
      </w:r>
      <w:r w:rsidRPr="001F5897">
        <w:rPr>
          <w:sz w:val="24"/>
          <w:szCs w:val="24"/>
        </w:rPr>
        <w:t xml:space="preserve">financial intelligence </w:t>
      </w:r>
      <w:r w:rsidRPr="001F5897">
        <w:rPr>
          <w:rFonts w:eastAsia="Calibri"/>
          <w:sz w:val="24"/>
          <w:szCs w:val="24"/>
          <w:lang w:eastAsia="en-US"/>
        </w:rPr>
        <w:t xml:space="preserve">related to the verified UTRs received from the obliged entities, as well as to other activities of the FSJ, it </w:t>
      </w:r>
      <w:r w:rsidRPr="001F5897">
        <w:rPr>
          <w:sz w:val="24"/>
          <w:szCs w:val="24"/>
        </w:rPr>
        <w:t xml:space="preserve">is not necessary for FSJ </w:t>
      </w:r>
      <w:r w:rsidRPr="001F5897">
        <w:rPr>
          <w:rFonts w:eastAsia="Calibri"/>
          <w:sz w:val="24"/>
          <w:szCs w:val="24"/>
          <w:lang w:eastAsia="en-US"/>
        </w:rPr>
        <w:t xml:space="preserve">to conclude any international agreements or contracts. However, based on the requirements of foreign partners, the FSJ has so far signed the Memoranda of Understanding with 8 foreign partner FIUs. </w:t>
      </w:r>
    </w:p>
    <w:p w14:paraId="65D3026D" w14:textId="4DDDC8CC" w:rsidR="00E222DA" w:rsidRPr="001F5897" w:rsidRDefault="00E222DA" w:rsidP="00E222DA">
      <w:pPr>
        <w:spacing w:after="120"/>
        <w:ind w:firstLine="708"/>
        <w:rPr>
          <w:rFonts w:eastAsia="Calibri"/>
          <w:sz w:val="24"/>
          <w:szCs w:val="24"/>
          <w:lang w:eastAsia="en-US"/>
        </w:rPr>
      </w:pPr>
      <w:r w:rsidRPr="001F5897">
        <w:rPr>
          <w:rFonts w:eastAsia="Calibri"/>
          <w:sz w:val="24"/>
          <w:szCs w:val="24"/>
          <w:lang w:eastAsia="en-US"/>
        </w:rPr>
        <w:t xml:space="preserve">In the year 2014, it was also initiated negotiation with the FIU of Panama and the FIU of Georgia in this context, which approached to our unit with a request to conclude a memorandum. In the course of the year 2014, the negotiation with the FIU of Panama was completed and this memorandum is currently at the stage before signing. Similarly, there was also a negotiation with the FIU of Georgia performed in the course of the year 2014, which is still </w:t>
      </w:r>
      <w:r w:rsidR="001F5897" w:rsidRPr="001F5897">
        <w:rPr>
          <w:rFonts w:eastAsia="Calibri"/>
          <w:sz w:val="24"/>
          <w:szCs w:val="24"/>
          <w:lang w:eastAsia="en-US"/>
        </w:rPr>
        <w:t>on-going</w:t>
      </w:r>
      <w:r w:rsidRPr="001F5897">
        <w:rPr>
          <w:rFonts w:eastAsia="Calibri"/>
          <w:sz w:val="24"/>
          <w:szCs w:val="24"/>
          <w:lang w:eastAsia="en-US"/>
        </w:rPr>
        <w:t>.</w:t>
      </w:r>
    </w:p>
    <w:p w14:paraId="20B3A012"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p>
    <w:p w14:paraId="26109D78"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p>
    <w:p w14:paraId="6675D0A5"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p>
    <w:p w14:paraId="3204E3A8"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r w:rsidRPr="001F5897">
        <w:lastRenderedPageBreak/>
        <w:t xml:space="preserve">Chart No. 13: List of Memorandums concerning international cooperation of FSJ with particular foreign partner FIUs </w:t>
      </w:r>
    </w:p>
    <w:tbl>
      <w:tblPr>
        <w:tblStyle w:val="Mriekatabuky"/>
        <w:tblW w:w="9180" w:type="dxa"/>
        <w:tblLayout w:type="fixed"/>
        <w:tblLook w:val="04A0" w:firstRow="1" w:lastRow="0" w:firstColumn="1" w:lastColumn="0" w:noHBand="0" w:noVBand="1"/>
      </w:tblPr>
      <w:tblGrid>
        <w:gridCol w:w="675"/>
        <w:gridCol w:w="7088"/>
        <w:gridCol w:w="1417"/>
      </w:tblGrid>
      <w:tr w:rsidR="00E222DA" w:rsidRPr="001F5897" w14:paraId="49FEDB4B" w14:textId="77777777" w:rsidTr="00D21CC6">
        <w:trPr>
          <w:trHeight w:val="723"/>
        </w:trPr>
        <w:tc>
          <w:tcPr>
            <w:tcW w:w="675" w:type="dxa"/>
            <w:shd w:val="clear" w:color="auto" w:fill="95B3D7" w:themeFill="accent1" w:themeFillTint="99"/>
            <w:vAlign w:val="center"/>
          </w:tcPr>
          <w:p w14:paraId="009E7A81" w14:textId="77777777" w:rsidR="00E222DA" w:rsidRPr="001F5897" w:rsidRDefault="00E222DA" w:rsidP="00D21CC6">
            <w:pPr>
              <w:rPr>
                <w:rFonts w:eastAsiaTheme="minorHAnsi"/>
                <w:b/>
              </w:rPr>
            </w:pPr>
            <w:r w:rsidRPr="001F5897">
              <w:rPr>
                <w:rFonts w:eastAsiaTheme="minorHAnsi"/>
                <w:b/>
              </w:rPr>
              <w:t>No.</w:t>
            </w:r>
          </w:p>
        </w:tc>
        <w:tc>
          <w:tcPr>
            <w:tcW w:w="7088" w:type="dxa"/>
            <w:shd w:val="clear" w:color="auto" w:fill="95B3D7" w:themeFill="accent1" w:themeFillTint="99"/>
            <w:vAlign w:val="center"/>
          </w:tcPr>
          <w:p w14:paraId="5ACE4B80" w14:textId="77777777" w:rsidR="00E222DA" w:rsidRPr="001F5897" w:rsidRDefault="00E222DA" w:rsidP="00D21CC6">
            <w:pPr>
              <w:jc w:val="center"/>
              <w:rPr>
                <w:rFonts w:eastAsiaTheme="minorHAnsi"/>
                <w:b/>
              </w:rPr>
            </w:pPr>
            <w:r w:rsidRPr="001F5897">
              <w:rPr>
                <w:rFonts w:eastAsiaTheme="minorHAnsi"/>
                <w:b/>
              </w:rPr>
              <w:t>Particular FIUs</w:t>
            </w:r>
          </w:p>
        </w:tc>
        <w:tc>
          <w:tcPr>
            <w:tcW w:w="1417" w:type="dxa"/>
            <w:shd w:val="clear" w:color="auto" w:fill="95B3D7" w:themeFill="accent1" w:themeFillTint="99"/>
            <w:vAlign w:val="center"/>
          </w:tcPr>
          <w:p w14:paraId="373366E3" w14:textId="77777777" w:rsidR="00E222DA" w:rsidRPr="001F5897" w:rsidRDefault="00E222DA" w:rsidP="00D21CC6">
            <w:pPr>
              <w:jc w:val="center"/>
              <w:rPr>
                <w:rFonts w:eastAsiaTheme="minorHAnsi"/>
                <w:b/>
              </w:rPr>
            </w:pPr>
            <w:r w:rsidRPr="001F5897">
              <w:rPr>
                <w:rFonts w:eastAsiaTheme="minorHAnsi"/>
                <w:b/>
              </w:rPr>
              <w:t>Date of signature</w:t>
            </w:r>
          </w:p>
        </w:tc>
      </w:tr>
      <w:tr w:rsidR="00E222DA" w:rsidRPr="001F5897" w14:paraId="3AA7A39E" w14:textId="77777777" w:rsidTr="00D21CC6">
        <w:tc>
          <w:tcPr>
            <w:tcW w:w="675" w:type="dxa"/>
            <w:shd w:val="clear" w:color="auto" w:fill="DBE5F1" w:themeFill="accent1" w:themeFillTint="33"/>
            <w:vAlign w:val="center"/>
          </w:tcPr>
          <w:p w14:paraId="512FBB5D" w14:textId="77777777" w:rsidR="00E222DA" w:rsidRPr="001F5897" w:rsidRDefault="00E222DA" w:rsidP="00D21CC6">
            <w:pPr>
              <w:rPr>
                <w:rFonts w:eastAsiaTheme="minorHAnsi"/>
              </w:rPr>
            </w:pPr>
            <w:r w:rsidRPr="001F5897">
              <w:rPr>
                <w:rFonts w:eastAsiaTheme="minorHAnsi"/>
              </w:rPr>
              <w:t>1.</w:t>
            </w:r>
          </w:p>
        </w:tc>
        <w:tc>
          <w:tcPr>
            <w:tcW w:w="7088" w:type="dxa"/>
            <w:shd w:val="clear" w:color="auto" w:fill="DBE5F1" w:themeFill="accent1" w:themeFillTint="33"/>
          </w:tcPr>
          <w:p w14:paraId="2F33C6F0" w14:textId="77777777" w:rsidR="00E222DA" w:rsidRPr="001F5897" w:rsidRDefault="00E222DA" w:rsidP="00D21CC6">
            <w:pPr>
              <w:rPr>
                <w:rFonts w:eastAsiaTheme="minorHAnsi"/>
              </w:rPr>
            </w:pPr>
            <w:r w:rsidRPr="001F5897">
              <w:rPr>
                <w:rFonts w:eastAsiaTheme="minorHAnsi"/>
              </w:rPr>
              <w:t xml:space="preserve">Memorandum of understanding between FSJ (The Bureau of the Financial Police of the Police Presidency of the Slovak Republic in 2000) and competent authority of the </w:t>
            </w:r>
            <w:r w:rsidRPr="001F5897">
              <w:rPr>
                <w:rFonts w:eastAsiaTheme="minorHAnsi"/>
                <w:b/>
              </w:rPr>
              <w:t>Kingdom of Belgium</w:t>
            </w:r>
            <w:r w:rsidRPr="001F5897">
              <w:rPr>
                <w:rFonts w:eastAsiaTheme="minorHAnsi"/>
              </w:rPr>
              <w:t xml:space="preserve"> concerning co-operation in the exchange of financial intelligence related to money laundering</w:t>
            </w:r>
          </w:p>
        </w:tc>
        <w:tc>
          <w:tcPr>
            <w:tcW w:w="1417" w:type="dxa"/>
            <w:shd w:val="clear" w:color="auto" w:fill="DBE5F1" w:themeFill="accent1" w:themeFillTint="33"/>
            <w:vAlign w:val="center"/>
          </w:tcPr>
          <w:p w14:paraId="7063AB18" w14:textId="77777777" w:rsidR="00E222DA" w:rsidRPr="001F5897" w:rsidRDefault="00E222DA" w:rsidP="00D21CC6">
            <w:pPr>
              <w:jc w:val="center"/>
              <w:rPr>
                <w:rFonts w:eastAsiaTheme="minorHAnsi"/>
              </w:rPr>
            </w:pPr>
            <w:r w:rsidRPr="001F5897">
              <w:rPr>
                <w:rFonts w:eastAsiaTheme="minorHAnsi"/>
              </w:rPr>
              <w:t>06.06.2000</w:t>
            </w:r>
          </w:p>
        </w:tc>
      </w:tr>
      <w:tr w:rsidR="00E222DA" w:rsidRPr="001F5897" w14:paraId="0D7D6D60" w14:textId="77777777" w:rsidTr="00D21CC6">
        <w:tc>
          <w:tcPr>
            <w:tcW w:w="675" w:type="dxa"/>
            <w:shd w:val="clear" w:color="auto" w:fill="DBE5F1" w:themeFill="accent1" w:themeFillTint="33"/>
            <w:vAlign w:val="center"/>
          </w:tcPr>
          <w:p w14:paraId="4C3CAD74" w14:textId="77777777" w:rsidR="00E222DA" w:rsidRPr="001F5897" w:rsidRDefault="00E222DA" w:rsidP="00D21CC6">
            <w:pPr>
              <w:rPr>
                <w:rFonts w:eastAsiaTheme="minorHAnsi"/>
              </w:rPr>
            </w:pPr>
            <w:r w:rsidRPr="001F5897">
              <w:rPr>
                <w:rFonts w:eastAsiaTheme="minorHAnsi"/>
              </w:rPr>
              <w:t>2.</w:t>
            </w:r>
          </w:p>
        </w:tc>
        <w:tc>
          <w:tcPr>
            <w:tcW w:w="7088" w:type="dxa"/>
            <w:shd w:val="clear" w:color="auto" w:fill="DBE5F1" w:themeFill="accent1" w:themeFillTint="33"/>
          </w:tcPr>
          <w:p w14:paraId="4ED718CD" w14:textId="77777777" w:rsidR="00E222DA" w:rsidRPr="001F5897" w:rsidRDefault="00E222DA" w:rsidP="00D21CC6">
            <w:pPr>
              <w:rPr>
                <w:rFonts w:eastAsiaTheme="minorHAnsi"/>
              </w:rPr>
            </w:pPr>
            <w:r w:rsidRPr="001F5897">
              <w:rPr>
                <w:rFonts w:eastAsiaTheme="minorHAnsi"/>
              </w:rPr>
              <w:t xml:space="preserve">Memorandum of understanding between FSJ (The Bureau of the Financial Police of the Police Presidency of the Slovak Republic in 2001) and competent authority of the </w:t>
            </w:r>
            <w:r w:rsidRPr="001F5897">
              <w:rPr>
                <w:rFonts w:eastAsiaTheme="minorHAnsi"/>
                <w:b/>
              </w:rPr>
              <w:t>Czech Republic</w:t>
            </w:r>
            <w:r w:rsidRPr="001F5897">
              <w:rPr>
                <w:rFonts w:eastAsiaTheme="minorHAnsi"/>
              </w:rPr>
              <w:t xml:space="preserve"> concerning mutual co-operation in the exchange of financial intelligence related to money laundering</w:t>
            </w:r>
          </w:p>
        </w:tc>
        <w:tc>
          <w:tcPr>
            <w:tcW w:w="1417" w:type="dxa"/>
            <w:shd w:val="clear" w:color="auto" w:fill="DBE5F1" w:themeFill="accent1" w:themeFillTint="33"/>
            <w:vAlign w:val="center"/>
          </w:tcPr>
          <w:p w14:paraId="2CDF4C43" w14:textId="77777777" w:rsidR="00E222DA" w:rsidRPr="001F5897" w:rsidRDefault="00E222DA" w:rsidP="00D21CC6">
            <w:pPr>
              <w:jc w:val="center"/>
              <w:rPr>
                <w:rFonts w:eastAsiaTheme="minorHAnsi"/>
              </w:rPr>
            </w:pPr>
            <w:r w:rsidRPr="001F5897">
              <w:rPr>
                <w:rFonts w:eastAsiaTheme="minorHAnsi"/>
              </w:rPr>
              <w:t>06.11.2001</w:t>
            </w:r>
          </w:p>
        </w:tc>
      </w:tr>
      <w:tr w:rsidR="00E222DA" w:rsidRPr="001F5897" w14:paraId="0F694CB6" w14:textId="77777777" w:rsidTr="00D21CC6">
        <w:tc>
          <w:tcPr>
            <w:tcW w:w="675" w:type="dxa"/>
            <w:shd w:val="clear" w:color="auto" w:fill="DBE5F1" w:themeFill="accent1" w:themeFillTint="33"/>
            <w:vAlign w:val="center"/>
          </w:tcPr>
          <w:p w14:paraId="1FD9B6D9" w14:textId="77777777" w:rsidR="00E222DA" w:rsidRPr="001F5897" w:rsidRDefault="00E222DA" w:rsidP="00D21CC6">
            <w:pPr>
              <w:rPr>
                <w:rFonts w:eastAsiaTheme="minorHAnsi"/>
              </w:rPr>
            </w:pPr>
            <w:r w:rsidRPr="001F5897">
              <w:rPr>
                <w:rFonts w:eastAsiaTheme="minorHAnsi"/>
              </w:rPr>
              <w:t>3.</w:t>
            </w:r>
          </w:p>
        </w:tc>
        <w:tc>
          <w:tcPr>
            <w:tcW w:w="7088" w:type="dxa"/>
            <w:shd w:val="clear" w:color="auto" w:fill="DBE5F1" w:themeFill="accent1" w:themeFillTint="33"/>
          </w:tcPr>
          <w:p w14:paraId="7E48546E" w14:textId="77777777" w:rsidR="00E222DA" w:rsidRPr="001F5897" w:rsidRDefault="00E222DA" w:rsidP="00D21CC6">
            <w:pPr>
              <w:rPr>
                <w:rFonts w:eastAsiaTheme="minorHAnsi"/>
              </w:rPr>
            </w:pPr>
            <w:r w:rsidRPr="001F5897">
              <w:rPr>
                <w:rFonts w:eastAsiaTheme="minorHAnsi"/>
              </w:rPr>
              <w:t xml:space="preserve">Memorandum of understanding between FSJ (The Bureau of the Financial Police of the Police Presidency of the Slovak Republic in 2001) and competent authority of </w:t>
            </w:r>
            <w:r w:rsidRPr="001F5897">
              <w:rPr>
                <w:rFonts w:eastAsiaTheme="minorHAnsi"/>
                <w:b/>
              </w:rPr>
              <w:t>Poland</w:t>
            </w:r>
            <w:r w:rsidRPr="001F5897">
              <w:rPr>
                <w:rFonts w:eastAsiaTheme="minorHAnsi"/>
              </w:rPr>
              <w:t xml:space="preserve"> concerning co-operation in the exchange of financial intelligence related to money laundering</w:t>
            </w:r>
          </w:p>
        </w:tc>
        <w:tc>
          <w:tcPr>
            <w:tcW w:w="1417" w:type="dxa"/>
            <w:shd w:val="clear" w:color="auto" w:fill="DBE5F1" w:themeFill="accent1" w:themeFillTint="33"/>
            <w:vAlign w:val="center"/>
          </w:tcPr>
          <w:p w14:paraId="37DC099B" w14:textId="77777777" w:rsidR="00E222DA" w:rsidRPr="001F5897" w:rsidRDefault="00E222DA" w:rsidP="00D21CC6">
            <w:pPr>
              <w:jc w:val="center"/>
              <w:rPr>
                <w:rFonts w:eastAsiaTheme="minorHAnsi"/>
              </w:rPr>
            </w:pPr>
            <w:r w:rsidRPr="001F5897">
              <w:rPr>
                <w:rFonts w:eastAsiaTheme="minorHAnsi"/>
              </w:rPr>
              <w:t>23.11.2001</w:t>
            </w:r>
          </w:p>
        </w:tc>
      </w:tr>
      <w:tr w:rsidR="00E222DA" w:rsidRPr="001F5897" w14:paraId="13A8B979" w14:textId="77777777" w:rsidTr="00D21CC6">
        <w:tc>
          <w:tcPr>
            <w:tcW w:w="675" w:type="dxa"/>
            <w:shd w:val="clear" w:color="auto" w:fill="DBE5F1" w:themeFill="accent1" w:themeFillTint="33"/>
            <w:vAlign w:val="center"/>
          </w:tcPr>
          <w:p w14:paraId="55B0ADF2" w14:textId="77777777" w:rsidR="00E222DA" w:rsidRPr="001F5897" w:rsidRDefault="00E222DA" w:rsidP="00D21CC6">
            <w:pPr>
              <w:rPr>
                <w:rFonts w:eastAsiaTheme="minorHAnsi"/>
              </w:rPr>
            </w:pPr>
            <w:r w:rsidRPr="001F5897">
              <w:rPr>
                <w:rFonts w:eastAsiaTheme="minorHAnsi"/>
              </w:rPr>
              <w:t>4.</w:t>
            </w:r>
          </w:p>
        </w:tc>
        <w:tc>
          <w:tcPr>
            <w:tcW w:w="7088" w:type="dxa"/>
            <w:shd w:val="clear" w:color="auto" w:fill="DBE5F1" w:themeFill="accent1" w:themeFillTint="33"/>
          </w:tcPr>
          <w:p w14:paraId="760DEFDB" w14:textId="77777777" w:rsidR="00E222DA" w:rsidRPr="001F5897" w:rsidRDefault="00E222DA" w:rsidP="00D21CC6">
            <w:pPr>
              <w:rPr>
                <w:rFonts w:eastAsiaTheme="minorHAnsi"/>
              </w:rPr>
            </w:pPr>
            <w:r w:rsidRPr="001F5897">
              <w:rPr>
                <w:rFonts w:eastAsiaTheme="minorHAnsi"/>
              </w:rPr>
              <w:t xml:space="preserve">Memorandum of understanding between FSJ (The Bureau of the Financial Police of the Police Presidency of the Slovak Republic in 2003) and competent authority of </w:t>
            </w:r>
            <w:r w:rsidRPr="001F5897">
              <w:rPr>
                <w:rFonts w:eastAsiaTheme="minorHAnsi"/>
                <w:b/>
              </w:rPr>
              <w:t>Ukraine</w:t>
            </w:r>
            <w:r w:rsidRPr="001F5897">
              <w:rPr>
                <w:rFonts w:eastAsiaTheme="minorHAnsi"/>
              </w:rPr>
              <w:t xml:space="preserve"> concerning co-operation in combating legalization (laundering) proceeds from crime</w:t>
            </w:r>
          </w:p>
        </w:tc>
        <w:tc>
          <w:tcPr>
            <w:tcW w:w="1417" w:type="dxa"/>
            <w:shd w:val="clear" w:color="auto" w:fill="DBE5F1" w:themeFill="accent1" w:themeFillTint="33"/>
            <w:vAlign w:val="center"/>
          </w:tcPr>
          <w:p w14:paraId="0FB7A7B0" w14:textId="77777777" w:rsidR="00E222DA" w:rsidRPr="001F5897" w:rsidRDefault="00E222DA" w:rsidP="00D21CC6">
            <w:pPr>
              <w:jc w:val="center"/>
              <w:rPr>
                <w:rFonts w:eastAsiaTheme="minorHAnsi"/>
              </w:rPr>
            </w:pPr>
            <w:r w:rsidRPr="001F5897">
              <w:rPr>
                <w:rFonts w:eastAsiaTheme="minorHAnsi"/>
              </w:rPr>
              <w:t>23.09.2003</w:t>
            </w:r>
          </w:p>
        </w:tc>
      </w:tr>
      <w:tr w:rsidR="00E222DA" w:rsidRPr="001F5897" w14:paraId="4E7CE2E2" w14:textId="77777777" w:rsidTr="00D21CC6">
        <w:tc>
          <w:tcPr>
            <w:tcW w:w="675" w:type="dxa"/>
            <w:shd w:val="clear" w:color="auto" w:fill="DBE5F1" w:themeFill="accent1" w:themeFillTint="33"/>
            <w:vAlign w:val="center"/>
          </w:tcPr>
          <w:p w14:paraId="4AE002B7" w14:textId="77777777" w:rsidR="00E222DA" w:rsidRPr="001F5897" w:rsidRDefault="00E222DA" w:rsidP="00D21CC6">
            <w:pPr>
              <w:rPr>
                <w:rFonts w:eastAsiaTheme="minorHAnsi"/>
              </w:rPr>
            </w:pPr>
            <w:r w:rsidRPr="001F5897">
              <w:rPr>
                <w:rFonts w:eastAsiaTheme="minorHAnsi"/>
              </w:rPr>
              <w:t>5.</w:t>
            </w:r>
          </w:p>
        </w:tc>
        <w:tc>
          <w:tcPr>
            <w:tcW w:w="7088" w:type="dxa"/>
            <w:shd w:val="clear" w:color="auto" w:fill="DBE5F1" w:themeFill="accent1" w:themeFillTint="33"/>
          </w:tcPr>
          <w:p w14:paraId="0ED50352" w14:textId="77777777" w:rsidR="00E222DA" w:rsidRPr="001F5897" w:rsidRDefault="00E222DA" w:rsidP="00D21CC6">
            <w:pPr>
              <w:rPr>
                <w:rFonts w:eastAsiaTheme="minorHAnsi"/>
              </w:rPr>
            </w:pPr>
            <w:r w:rsidRPr="001F5897">
              <w:rPr>
                <w:rFonts w:eastAsiaTheme="minorHAnsi"/>
              </w:rPr>
              <w:t xml:space="preserve">Memorandum of understanding between FSJ (The Financial Intelligence Unit of Bureau of Organized Crime of Police Presidency in 2004) and competent authority of </w:t>
            </w:r>
            <w:r w:rsidRPr="001F5897">
              <w:rPr>
                <w:rFonts w:eastAsiaTheme="minorHAnsi"/>
                <w:b/>
              </w:rPr>
              <w:t>Monaco</w:t>
            </w:r>
            <w:r w:rsidRPr="001F5897">
              <w:rPr>
                <w:rFonts w:eastAsiaTheme="minorHAnsi"/>
              </w:rPr>
              <w:t xml:space="preserve"> concerning co-operation in the exchange of financial intelligence related to money laundering and the financing of terrorism</w:t>
            </w:r>
          </w:p>
        </w:tc>
        <w:tc>
          <w:tcPr>
            <w:tcW w:w="1417" w:type="dxa"/>
            <w:shd w:val="clear" w:color="auto" w:fill="DBE5F1" w:themeFill="accent1" w:themeFillTint="33"/>
            <w:vAlign w:val="center"/>
          </w:tcPr>
          <w:p w14:paraId="1CED164A" w14:textId="77777777" w:rsidR="00E222DA" w:rsidRPr="001F5897" w:rsidRDefault="00E222DA" w:rsidP="00D21CC6">
            <w:pPr>
              <w:jc w:val="center"/>
              <w:rPr>
                <w:rFonts w:eastAsiaTheme="minorHAnsi"/>
              </w:rPr>
            </w:pPr>
            <w:r w:rsidRPr="001F5897">
              <w:rPr>
                <w:rFonts w:eastAsiaTheme="minorHAnsi"/>
              </w:rPr>
              <w:t>24.06.2004</w:t>
            </w:r>
          </w:p>
        </w:tc>
      </w:tr>
      <w:tr w:rsidR="00E222DA" w:rsidRPr="001F5897" w14:paraId="6CBAB66E" w14:textId="77777777" w:rsidTr="00D21CC6">
        <w:tc>
          <w:tcPr>
            <w:tcW w:w="675" w:type="dxa"/>
            <w:shd w:val="clear" w:color="auto" w:fill="DBE5F1" w:themeFill="accent1" w:themeFillTint="33"/>
            <w:vAlign w:val="center"/>
          </w:tcPr>
          <w:p w14:paraId="2818D550" w14:textId="77777777" w:rsidR="00E222DA" w:rsidRPr="001F5897" w:rsidRDefault="00E222DA" w:rsidP="00D21CC6">
            <w:pPr>
              <w:rPr>
                <w:rFonts w:eastAsiaTheme="minorHAnsi"/>
              </w:rPr>
            </w:pPr>
            <w:r w:rsidRPr="001F5897">
              <w:rPr>
                <w:rFonts w:eastAsiaTheme="minorHAnsi"/>
              </w:rPr>
              <w:t>6.</w:t>
            </w:r>
          </w:p>
        </w:tc>
        <w:tc>
          <w:tcPr>
            <w:tcW w:w="7088" w:type="dxa"/>
            <w:shd w:val="clear" w:color="auto" w:fill="DBE5F1" w:themeFill="accent1" w:themeFillTint="33"/>
          </w:tcPr>
          <w:p w14:paraId="5BBC3667" w14:textId="77777777" w:rsidR="00E222DA" w:rsidRPr="001F5897" w:rsidRDefault="00E222DA" w:rsidP="00D21CC6">
            <w:pPr>
              <w:rPr>
                <w:rFonts w:eastAsiaTheme="minorHAnsi"/>
              </w:rPr>
            </w:pPr>
            <w:r w:rsidRPr="001F5897">
              <w:rPr>
                <w:rFonts w:eastAsiaTheme="minorHAnsi"/>
              </w:rPr>
              <w:t xml:space="preserve">Memorandum of understanding between FSJ (The Financial Intelligence Unit of Bureau of Organized Crime of Police Presidency in 2004) and competent authority of </w:t>
            </w:r>
            <w:r w:rsidRPr="001F5897">
              <w:rPr>
                <w:rFonts w:eastAsiaTheme="minorHAnsi"/>
                <w:b/>
              </w:rPr>
              <w:t>Australia</w:t>
            </w:r>
            <w:r w:rsidRPr="001F5897">
              <w:rPr>
                <w:rFonts w:eastAsiaTheme="minorHAnsi"/>
              </w:rPr>
              <w:t xml:space="preserve"> concerning co-operation in the exchange of financial intelligence </w:t>
            </w:r>
          </w:p>
        </w:tc>
        <w:tc>
          <w:tcPr>
            <w:tcW w:w="1417" w:type="dxa"/>
            <w:shd w:val="clear" w:color="auto" w:fill="DBE5F1" w:themeFill="accent1" w:themeFillTint="33"/>
            <w:vAlign w:val="center"/>
          </w:tcPr>
          <w:p w14:paraId="5E7FED2D" w14:textId="77777777" w:rsidR="00E222DA" w:rsidRPr="001F5897" w:rsidRDefault="00E222DA" w:rsidP="00D21CC6">
            <w:pPr>
              <w:jc w:val="center"/>
              <w:rPr>
                <w:rFonts w:eastAsiaTheme="minorHAnsi"/>
              </w:rPr>
            </w:pPr>
            <w:r w:rsidRPr="001F5897">
              <w:rPr>
                <w:rFonts w:eastAsiaTheme="minorHAnsi"/>
              </w:rPr>
              <w:t>24.06.2004</w:t>
            </w:r>
          </w:p>
        </w:tc>
      </w:tr>
      <w:tr w:rsidR="00E222DA" w:rsidRPr="001F5897" w14:paraId="10042AB8" w14:textId="77777777" w:rsidTr="00D21CC6">
        <w:tc>
          <w:tcPr>
            <w:tcW w:w="675" w:type="dxa"/>
            <w:shd w:val="clear" w:color="auto" w:fill="DBE5F1" w:themeFill="accent1" w:themeFillTint="33"/>
            <w:vAlign w:val="center"/>
          </w:tcPr>
          <w:p w14:paraId="51F5870E" w14:textId="77777777" w:rsidR="00E222DA" w:rsidRPr="001F5897" w:rsidRDefault="00E222DA" w:rsidP="00D21CC6">
            <w:pPr>
              <w:rPr>
                <w:rFonts w:eastAsiaTheme="minorHAnsi"/>
              </w:rPr>
            </w:pPr>
            <w:r w:rsidRPr="001F5897">
              <w:rPr>
                <w:rFonts w:eastAsiaTheme="minorHAnsi"/>
              </w:rPr>
              <w:t>7.</w:t>
            </w:r>
          </w:p>
        </w:tc>
        <w:tc>
          <w:tcPr>
            <w:tcW w:w="7088" w:type="dxa"/>
            <w:shd w:val="clear" w:color="auto" w:fill="DBE5F1" w:themeFill="accent1" w:themeFillTint="33"/>
          </w:tcPr>
          <w:p w14:paraId="534B0FE8" w14:textId="77777777" w:rsidR="00E222DA" w:rsidRPr="001F5897" w:rsidRDefault="00E222DA" w:rsidP="00D21CC6">
            <w:pPr>
              <w:rPr>
                <w:rFonts w:eastAsiaTheme="minorHAnsi"/>
              </w:rPr>
            </w:pPr>
            <w:r w:rsidRPr="001F5897">
              <w:rPr>
                <w:rFonts w:eastAsiaTheme="minorHAnsi"/>
              </w:rPr>
              <w:t xml:space="preserve">Memorandum of understanding between FSJ (The Financial Intelligence Unit of Bureau of Organized Crime of Police Presidency in 2005) and competent authority of the </w:t>
            </w:r>
            <w:r w:rsidRPr="001F5897">
              <w:rPr>
                <w:rFonts w:eastAsiaTheme="minorHAnsi"/>
                <w:b/>
              </w:rPr>
              <w:t xml:space="preserve">Republic of Albania </w:t>
            </w:r>
            <w:r w:rsidRPr="001F5897">
              <w:rPr>
                <w:rFonts w:eastAsiaTheme="minorHAnsi"/>
              </w:rPr>
              <w:t>concerning co-operation in the exchange of financial intelligence related to money laundering</w:t>
            </w:r>
          </w:p>
        </w:tc>
        <w:tc>
          <w:tcPr>
            <w:tcW w:w="1417" w:type="dxa"/>
            <w:shd w:val="clear" w:color="auto" w:fill="DBE5F1" w:themeFill="accent1" w:themeFillTint="33"/>
            <w:vAlign w:val="center"/>
          </w:tcPr>
          <w:p w14:paraId="01AE1FBC" w14:textId="77777777" w:rsidR="00E222DA" w:rsidRPr="001F5897" w:rsidRDefault="00E222DA" w:rsidP="00D21CC6">
            <w:pPr>
              <w:jc w:val="center"/>
              <w:rPr>
                <w:rFonts w:eastAsiaTheme="minorHAnsi"/>
              </w:rPr>
            </w:pPr>
            <w:r w:rsidRPr="001F5897">
              <w:rPr>
                <w:rFonts w:eastAsiaTheme="minorHAnsi"/>
              </w:rPr>
              <w:t>15.02.2005</w:t>
            </w:r>
          </w:p>
        </w:tc>
      </w:tr>
      <w:tr w:rsidR="00E222DA" w:rsidRPr="001F5897" w14:paraId="267C85F8" w14:textId="77777777" w:rsidTr="00D21CC6">
        <w:tc>
          <w:tcPr>
            <w:tcW w:w="675" w:type="dxa"/>
            <w:shd w:val="clear" w:color="auto" w:fill="DBE5F1" w:themeFill="accent1" w:themeFillTint="33"/>
            <w:vAlign w:val="center"/>
          </w:tcPr>
          <w:p w14:paraId="0AE789E6" w14:textId="77777777" w:rsidR="00E222DA" w:rsidRPr="001F5897" w:rsidRDefault="00E222DA" w:rsidP="00D21CC6">
            <w:pPr>
              <w:rPr>
                <w:rFonts w:eastAsiaTheme="minorHAnsi"/>
              </w:rPr>
            </w:pPr>
            <w:r w:rsidRPr="001F5897">
              <w:rPr>
                <w:rFonts w:eastAsiaTheme="minorHAnsi"/>
              </w:rPr>
              <w:t>8.</w:t>
            </w:r>
          </w:p>
        </w:tc>
        <w:tc>
          <w:tcPr>
            <w:tcW w:w="7088" w:type="dxa"/>
            <w:shd w:val="clear" w:color="auto" w:fill="DBE5F1" w:themeFill="accent1" w:themeFillTint="33"/>
          </w:tcPr>
          <w:p w14:paraId="6FA1F7BF" w14:textId="77777777" w:rsidR="00E222DA" w:rsidRPr="001F5897" w:rsidRDefault="00E222DA" w:rsidP="00D21CC6">
            <w:pPr>
              <w:rPr>
                <w:rFonts w:eastAsiaTheme="minorHAnsi"/>
              </w:rPr>
            </w:pPr>
            <w:r w:rsidRPr="001F5897">
              <w:rPr>
                <w:rFonts w:eastAsiaTheme="minorHAnsi"/>
              </w:rPr>
              <w:t>Memorandum of understanding between FSJ and competent authority of the</w:t>
            </w:r>
            <w:r w:rsidRPr="001F5897">
              <w:rPr>
                <w:rFonts w:eastAsiaTheme="minorHAnsi"/>
                <w:b/>
              </w:rPr>
              <w:t xml:space="preserve"> Russian Federation </w:t>
            </w:r>
            <w:r w:rsidRPr="001F5897">
              <w:rPr>
                <w:rFonts w:eastAsiaTheme="minorHAnsi"/>
              </w:rPr>
              <w:t>concerning co-operation in the exchange of financial intelligence related to money laundering</w:t>
            </w:r>
          </w:p>
        </w:tc>
        <w:tc>
          <w:tcPr>
            <w:tcW w:w="1417" w:type="dxa"/>
            <w:shd w:val="clear" w:color="auto" w:fill="DBE5F1" w:themeFill="accent1" w:themeFillTint="33"/>
            <w:vAlign w:val="center"/>
          </w:tcPr>
          <w:p w14:paraId="33AA4742" w14:textId="77777777" w:rsidR="00E222DA" w:rsidRPr="001F5897" w:rsidRDefault="00E222DA" w:rsidP="00D21CC6">
            <w:pPr>
              <w:jc w:val="center"/>
              <w:rPr>
                <w:rFonts w:eastAsiaTheme="minorHAnsi"/>
              </w:rPr>
            </w:pPr>
            <w:r w:rsidRPr="001F5897">
              <w:rPr>
                <w:rFonts w:eastAsiaTheme="minorHAnsi"/>
              </w:rPr>
              <w:t>04.07.2013</w:t>
            </w:r>
          </w:p>
        </w:tc>
      </w:tr>
    </w:tbl>
    <w:p w14:paraId="122C5084"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ab/>
      </w:r>
    </w:p>
    <w:p w14:paraId="49198E20"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ab/>
        <w:t xml:space="preserve">Mutual communication among the FIU´s of particular countries is performed through two computer networks – through the encrypted electronic security network Egmont Secure Web (ESW) or through the computer network Financial Intelligence Unit Network (FIU. </w:t>
      </w:r>
      <w:proofErr w:type="gramStart"/>
      <w:r w:rsidRPr="001F5897">
        <w:rPr>
          <w:sz w:val="24"/>
        </w:rPr>
        <w:t>NET).</w:t>
      </w:r>
      <w:proofErr w:type="gramEnd"/>
      <w:r w:rsidRPr="001F5897">
        <w:rPr>
          <w:sz w:val="24"/>
        </w:rPr>
        <w:t xml:space="preserve"> ESW was made within the international organization Egmont Group. This network enables us to communicate with FIUs from all over the word.</w:t>
      </w:r>
    </w:p>
    <w:p w14:paraId="746E47F9" w14:textId="2C3B4B08"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ab/>
        <w:t>FIU.NET is the decentralized computer network which enables an information exchange between FIUs of the European Union. There is no central database of collected information. All connected FIUs have their own equipment in their offices, where they manage their database of information. It is possible to create bilateral and multilateral cases through FIU.NET. There was a sophisticated technology created within FIU.NET called Ma3tch, which allows the FIUs to compare the</w:t>
      </w:r>
      <w:r w:rsidR="001F5897">
        <w:rPr>
          <w:sz w:val="24"/>
        </w:rPr>
        <w:t>ir data matched with other FIUs</w:t>
      </w:r>
      <w:r w:rsidRPr="001F5897">
        <w:rPr>
          <w:sz w:val="24"/>
        </w:rPr>
        <w:t xml:space="preserve"> data in an anonymous way. Very simplified, it converts FIU data into uniform anonymous filters without sensitive personal data. These filters can therefore safely be shared with and used by other FIUs.</w:t>
      </w:r>
      <w:r w:rsidRPr="001F5897">
        <w:rPr>
          <w:sz w:val="24"/>
        </w:rPr>
        <w:tab/>
      </w:r>
    </w:p>
    <w:p w14:paraId="45CC204E"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ab/>
        <w:t xml:space="preserve">One of the big advantages of Ma3tch is the ability of detecting a subject of concern of the particular FIUs in other countries, even if FIU doesn´t know, that verified subjects is connected to FIU´s country. FIUs are able to work as a cohesive unit through using of Ma3tch. Through FIU.NET as a virtual entity, FIUs are able to detect various hidden proceeds </w:t>
      </w:r>
      <w:r w:rsidRPr="001F5897">
        <w:rPr>
          <w:sz w:val="24"/>
        </w:rPr>
        <w:lastRenderedPageBreak/>
        <w:t>of criminal activity performed in other countries. Although criminals and terrorists can move freely within our open borders, due to the international cooperation among the FIUs, they are still able to trace their criminal activities whether it´s within the area of the European Union or all over the world.</w:t>
      </w:r>
    </w:p>
    <w:p w14:paraId="43002C20"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 xml:space="preserve"> </w:t>
      </w:r>
      <w:r w:rsidRPr="001F5897">
        <w:rPr>
          <w:sz w:val="24"/>
        </w:rPr>
        <w:tab/>
        <w:t>During the evaluation period while working with the FIUs within the Egmont Group which contains 139 member countries, FSJ cooperated mostly with the FIUs of the Czech Republic, Hungary, Poland and Italy. From the total number of 27 member states of the FIU.NET (FIU Croatia was connected in November 2014), the most frequent cooperation was carried out with the partnership FIUs of Germany, Hungary and France.</w:t>
      </w:r>
    </w:p>
    <w:p w14:paraId="78A98EA7"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ab/>
        <w:t>In the process of information exchange during the year 2014, FSJ sent total 333 requests for information to foreign FIUs. FSJ processed 301 requests submitted by foreign FIUs. FSJ received 70 spontaneous information and 430 spontaneous information were sent by FSJ to the other FIUs.</w:t>
      </w:r>
    </w:p>
    <w:p w14:paraId="1BD2A45E"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r w:rsidRPr="001F5897">
        <w:rPr>
          <w:sz w:val="24"/>
        </w:rPr>
        <w:t xml:space="preserve"> </w:t>
      </w:r>
    </w:p>
    <w:p w14:paraId="7AF85BD3"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r w:rsidRPr="001F5897">
        <w:t>Chart No. 14: Summary of selected activities performed by the International Cooperation Department in 2013 – 2014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524"/>
        <w:gridCol w:w="1984"/>
        <w:gridCol w:w="1843"/>
        <w:gridCol w:w="3118"/>
      </w:tblGrid>
      <w:tr w:rsidR="00E222DA" w:rsidRPr="001F5897" w14:paraId="413CE59F" w14:textId="77777777" w:rsidTr="00D21CC6">
        <w:tc>
          <w:tcPr>
            <w:tcW w:w="709" w:type="dxa"/>
            <w:shd w:val="clear" w:color="auto" w:fill="D99594" w:themeFill="accent2" w:themeFillTint="99"/>
          </w:tcPr>
          <w:p w14:paraId="24E797E7" w14:textId="77777777" w:rsidR="00E222DA" w:rsidRPr="001F5897" w:rsidRDefault="00E222DA" w:rsidP="00D21CC6">
            <w:pPr>
              <w:spacing w:after="120"/>
              <w:rPr>
                <w:rFonts w:eastAsiaTheme="minorHAnsi" w:cstheme="minorBidi"/>
                <w:b/>
                <w:bCs/>
              </w:rPr>
            </w:pPr>
          </w:p>
          <w:p w14:paraId="63BB421F" w14:textId="77777777" w:rsidR="00E222DA" w:rsidRPr="001F5897" w:rsidRDefault="00E222DA" w:rsidP="00D21CC6">
            <w:pPr>
              <w:spacing w:after="120"/>
              <w:rPr>
                <w:rFonts w:eastAsiaTheme="minorHAnsi" w:cstheme="minorBidi"/>
                <w:b/>
              </w:rPr>
            </w:pPr>
            <w:r w:rsidRPr="001F5897">
              <w:rPr>
                <w:rFonts w:eastAsiaTheme="minorHAnsi" w:cstheme="minorBidi"/>
                <w:b/>
              </w:rPr>
              <w:t>Year</w:t>
            </w:r>
          </w:p>
        </w:tc>
        <w:tc>
          <w:tcPr>
            <w:tcW w:w="1524" w:type="dxa"/>
            <w:shd w:val="clear" w:color="auto" w:fill="D99594" w:themeFill="accent2" w:themeFillTint="99"/>
          </w:tcPr>
          <w:p w14:paraId="21E48ADC" w14:textId="77777777" w:rsidR="00E222DA" w:rsidRPr="001F5897" w:rsidRDefault="00E222DA" w:rsidP="00D21CC6">
            <w:pPr>
              <w:spacing w:after="120"/>
              <w:jc w:val="center"/>
              <w:rPr>
                <w:rFonts w:eastAsiaTheme="minorHAnsi" w:cstheme="minorBidi"/>
                <w:b/>
                <w:bCs/>
              </w:rPr>
            </w:pPr>
          </w:p>
          <w:p w14:paraId="57AFED77" w14:textId="77777777" w:rsidR="00E222DA" w:rsidRPr="001F5897" w:rsidRDefault="00E222DA" w:rsidP="00D21CC6">
            <w:pPr>
              <w:spacing w:after="120"/>
              <w:jc w:val="left"/>
              <w:rPr>
                <w:rFonts w:eastAsiaTheme="minorHAnsi" w:cstheme="minorBidi"/>
              </w:rPr>
            </w:pPr>
            <w:r w:rsidRPr="001F5897">
              <w:rPr>
                <w:rFonts w:eastAsiaTheme="minorHAnsi" w:cstheme="minorBidi"/>
                <w:b/>
                <w:bCs/>
              </w:rPr>
              <w:t>Number of requests sent to foreign FIUs</w:t>
            </w:r>
          </w:p>
        </w:tc>
        <w:tc>
          <w:tcPr>
            <w:tcW w:w="1984" w:type="dxa"/>
            <w:shd w:val="clear" w:color="auto" w:fill="D99594" w:themeFill="accent2" w:themeFillTint="99"/>
          </w:tcPr>
          <w:p w14:paraId="1335DC61" w14:textId="77777777" w:rsidR="00E222DA" w:rsidRPr="001F5897" w:rsidRDefault="00E222DA" w:rsidP="00D21CC6">
            <w:pPr>
              <w:spacing w:after="120"/>
              <w:jc w:val="center"/>
              <w:rPr>
                <w:rFonts w:eastAsiaTheme="minorHAnsi" w:cstheme="minorBidi"/>
                <w:b/>
                <w:bCs/>
              </w:rPr>
            </w:pPr>
          </w:p>
          <w:p w14:paraId="1454292B" w14:textId="77777777" w:rsidR="00E222DA" w:rsidRPr="001F5897" w:rsidRDefault="00E222DA" w:rsidP="00D21CC6">
            <w:pPr>
              <w:spacing w:after="120"/>
              <w:jc w:val="left"/>
              <w:rPr>
                <w:rFonts w:eastAsiaTheme="minorHAnsi" w:cstheme="minorBidi"/>
                <w:b/>
                <w:bCs/>
              </w:rPr>
            </w:pPr>
            <w:r w:rsidRPr="001F5897">
              <w:rPr>
                <w:rFonts w:eastAsiaTheme="minorHAnsi" w:cstheme="minorBidi"/>
                <w:b/>
                <w:bCs/>
              </w:rPr>
              <w:t>Number of requests submitted by foreign FIUs</w:t>
            </w:r>
          </w:p>
        </w:tc>
        <w:tc>
          <w:tcPr>
            <w:tcW w:w="1843" w:type="dxa"/>
            <w:shd w:val="clear" w:color="auto" w:fill="D99594" w:themeFill="accent2" w:themeFillTint="99"/>
          </w:tcPr>
          <w:p w14:paraId="7BBC055F" w14:textId="77777777" w:rsidR="00E222DA" w:rsidRPr="001F5897" w:rsidRDefault="00E222DA" w:rsidP="00D21CC6">
            <w:pPr>
              <w:spacing w:after="120"/>
              <w:jc w:val="center"/>
              <w:rPr>
                <w:rFonts w:eastAsiaTheme="minorHAnsi" w:cstheme="minorBidi"/>
                <w:b/>
                <w:bCs/>
              </w:rPr>
            </w:pPr>
          </w:p>
          <w:p w14:paraId="77271AE6" w14:textId="77777777" w:rsidR="00E222DA" w:rsidRPr="001F5897" w:rsidRDefault="00E222DA" w:rsidP="00D21CC6">
            <w:pPr>
              <w:spacing w:after="120"/>
              <w:jc w:val="left"/>
              <w:rPr>
                <w:rFonts w:eastAsiaTheme="minorHAnsi" w:cstheme="minorBidi"/>
              </w:rPr>
            </w:pPr>
            <w:r w:rsidRPr="001F5897">
              <w:rPr>
                <w:rFonts w:eastAsiaTheme="minorHAnsi" w:cstheme="minorBidi"/>
                <w:b/>
                <w:bCs/>
              </w:rPr>
              <w:t>Number of spontaneous information sent to foreign FIUs</w:t>
            </w:r>
          </w:p>
        </w:tc>
        <w:tc>
          <w:tcPr>
            <w:tcW w:w="3118" w:type="dxa"/>
            <w:shd w:val="clear" w:color="auto" w:fill="D99594" w:themeFill="accent2" w:themeFillTint="99"/>
          </w:tcPr>
          <w:p w14:paraId="323FE078" w14:textId="77777777" w:rsidR="00E222DA" w:rsidRPr="001F5897" w:rsidRDefault="00E222DA" w:rsidP="00D21CC6">
            <w:pPr>
              <w:spacing w:after="120"/>
              <w:jc w:val="center"/>
              <w:rPr>
                <w:rFonts w:eastAsiaTheme="minorHAnsi" w:cstheme="minorBidi"/>
                <w:b/>
                <w:bCs/>
              </w:rPr>
            </w:pPr>
          </w:p>
          <w:p w14:paraId="57931942" w14:textId="77777777" w:rsidR="00E222DA" w:rsidRPr="001F5897" w:rsidRDefault="00E222DA" w:rsidP="00D21CC6">
            <w:pPr>
              <w:spacing w:after="120"/>
              <w:jc w:val="left"/>
              <w:rPr>
                <w:rFonts w:eastAsiaTheme="minorHAnsi" w:cstheme="minorBidi"/>
                <w:b/>
                <w:bCs/>
              </w:rPr>
            </w:pPr>
            <w:r w:rsidRPr="001F5897">
              <w:rPr>
                <w:rFonts w:eastAsiaTheme="minorHAnsi" w:cstheme="minorBidi"/>
                <w:b/>
                <w:bCs/>
              </w:rPr>
              <w:t>Number of information regarding Slovak subjects submitted by foreign FIUs</w:t>
            </w:r>
          </w:p>
        </w:tc>
      </w:tr>
      <w:tr w:rsidR="00E222DA" w:rsidRPr="001F5897" w14:paraId="24441F30" w14:textId="77777777" w:rsidTr="00D21CC6">
        <w:tc>
          <w:tcPr>
            <w:tcW w:w="709" w:type="dxa"/>
            <w:shd w:val="clear" w:color="auto" w:fill="E5B8B7" w:themeFill="accent2" w:themeFillTint="66"/>
          </w:tcPr>
          <w:p w14:paraId="5841ED23" w14:textId="77777777" w:rsidR="00E222DA" w:rsidRPr="001F5897" w:rsidRDefault="00E222DA" w:rsidP="00D21CC6">
            <w:pPr>
              <w:spacing w:after="120"/>
              <w:rPr>
                <w:rFonts w:eastAsiaTheme="minorHAnsi" w:cstheme="minorBidi"/>
                <w:bCs/>
                <w:sz w:val="24"/>
              </w:rPr>
            </w:pPr>
            <w:r w:rsidRPr="001F5897">
              <w:rPr>
                <w:rFonts w:eastAsiaTheme="minorHAnsi" w:cstheme="minorBidi"/>
                <w:bCs/>
                <w:sz w:val="24"/>
              </w:rPr>
              <w:t>2013</w:t>
            </w:r>
          </w:p>
        </w:tc>
        <w:tc>
          <w:tcPr>
            <w:tcW w:w="1524" w:type="dxa"/>
            <w:shd w:val="clear" w:color="auto" w:fill="E5B8B7" w:themeFill="accent2" w:themeFillTint="66"/>
          </w:tcPr>
          <w:p w14:paraId="74333286" w14:textId="77777777" w:rsidR="00E222DA" w:rsidRPr="001F5897" w:rsidRDefault="00E222DA" w:rsidP="00D21CC6">
            <w:pPr>
              <w:spacing w:after="120"/>
              <w:jc w:val="center"/>
              <w:rPr>
                <w:rFonts w:eastAsiaTheme="minorHAnsi" w:cstheme="minorBidi"/>
                <w:sz w:val="24"/>
              </w:rPr>
            </w:pPr>
            <w:r w:rsidRPr="001F5897">
              <w:rPr>
                <w:rFonts w:eastAsiaTheme="minorHAnsi" w:cstheme="minorBidi"/>
                <w:sz w:val="24"/>
              </w:rPr>
              <w:t>250</w:t>
            </w:r>
          </w:p>
        </w:tc>
        <w:tc>
          <w:tcPr>
            <w:tcW w:w="1984" w:type="dxa"/>
            <w:shd w:val="clear" w:color="auto" w:fill="E5B8B7" w:themeFill="accent2" w:themeFillTint="66"/>
          </w:tcPr>
          <w:p w14:paraId="6B264493" w14:textId="77777777" w:rsidR="00E222DA" w:rsidRPr="001F5897" w:rsidRDefault="00E222DA" w:rsidP="00D21CC6">
            <w:pPr>
              <w:spacing w:after="120"/>
              <w:jc w:val="center"/>
              <w:rPr>
                <w:rFonts w:eastAsiaTheme="minorHAnsi" w:cstheme="minorBidi"/>
                <w:sz w:val="24"/>
              </w:rPr>
            </w:pPr>
            <w:r w:rsidRPr="001F5897">
              <w:rPr>
                <w:rFonts w:eastAsiaTheme="minorHAnsi" w:cstheme="minorBidi"/>
                <w:sz w:val="24"/>
              </w:rPr>
              <w:t>258</w:t>
            </w:r>
          </w:p>
        </w:tc>
        <w:tc>
          <w:tcPr>
            <w:tcW w:w="1843" w:type="dxa"/>
            <w:shd w:val="clear" w:color="auto" w:fill="E5B8B7" w:themeFill="accent2" w:themeFillTint="66"/>
          </w:tcPr>
          <w:p w14:paraId="3621AC05" w14:textId="77777777" w:rsidR="00E222DA" w:rsidRPr="001F5897" w:rsidRDefault="00E222DA" w:rsidP="00D21CC6">
            <w:pPr>
              <w:spacing w:after="120"/>
              <w:jc w:val="center"/>
              <w:rPr>
                <w:rFonts w:eastAsiaTheme="minorHAnsi" w:cstheme="minorBidi"/>
                <w:sz w:val="24"/>
              </w:rPr>
            </w:pPr>
            <w:r w:rsidRPr="001F5897">
              <w:rPr>
                <w:rFonts w:eastAsiaTheme="minorHAnsi" w:cstheme="minorBidi"/>
                <w:sz w:val="24"/>
              </w:rPr>
              <w:t>293</w:t>
            </w:r>
          </w:p>
        </w:tc>
        <w:tc>
          <w:tcPr>
            <w:tcW w:w="3118" w:type="dxa"/>
            <w:shd w:val="clear" w:color="auto" w:fill="E5B8B7" w:themeFill="accent2" w:themeFillTint="66"/>
          </w:tcPr>
          <w:p w14:paraId="44D115F5" w14:textId="77777777" w:rsidR="00E222DA" w:rsidRPr="001F5897" w:rsidRDefault="00E222DA" w:rsidP="00D21CC6">
            <w:pPr>
              <w:spacing w:after="120"/>
              <w:jc w:val="center"/>
              <w:rPr>
                <w:rFonts w:eastAsiaTheme="minorHAnsi" w:cstheme="minorBidi"/>
                <w:sz w:val="24"/>
              </w:rPr>
            </w:pPr>
            <w:r w:rsidRPr="001F5897">
              <w:rPr>
                <w:rFonts w:eastAsiaTheme="minorHAnsi" w:cstheme="minorBidi"/>
                <w:sz w:val="24"/>
              </w:rPr>
              <w:t>78</w:t>
            </w:r>
          </w:p>
        </w:tc>
      </w:tr>
      <w:tr w:rsidR="00E222DA" w:rsidRPr="001F5897" w14:paraId="6D047FE1" w14:textId="77777777" w:rsidTr="00D21CC6">
        <w:tc>
          <w:tcPr>
            <w:tcW w:w="709" w:type="dxa"/>
            <w:shd w:val="clear" w:color="auto" w:fill="E5B8B7" w:themeFill="accent2" w:themeFillTint="66"/>
          </w:tcPr>
          <w:p w14:paraId="646D3D57" w14:textId="77777777" w:rsidR="00E222DA" w:rsidRPr="001F5897" w:rsidRDefault="00E222DA" w:rsidP="00D21CC6">
            <w:pPr>
              <w:spacing w:after="120"/>
              <w:rPr>
                <w:rFonts w:eastAsiaTheme="minorHAnsi" w:cstheme="minorBidi"/>
                <w:b/>
                <w:bCs/>
                <w:sz w:val="24"/>
              </w:rPr>
            </w:pPr>
            <w:r w:rsidRPr="001F5897">
              <w:rPr>
                <w:rFonts w:eastAsiaTheme="minorHAnsi" w:cstheme="minorBidi"/>
                <w:b/>
                <w:bCs/>
                <w:sz w:val="24"/>
              </w:rPr>
              <w:t>2014</w:t>
            </w:r>
          </w:p>
        </w:tc>
        <w:tc>
          <w:tcPr>
            <w:tcW w:w="1524" w:type="dxa"/>
            <w:shd w:val="clear" w:color="auto" w:fill="E5B8B7" w:themeFill="accent2" w:themeFillTint="66"/>
          </w:tcPr>
          <w:p w14:paraId="4DD728B1" w14:textId="77777777" w:rsidR="00E222DA" w:rsidRPr="001F5897" w:rsidRDefault="00E222DA" w:rsidP="00D21CC6">
            <w:pPr>
              <w:spacing w:after="120"/>
              <w:jc w:val="center"/>
              <w:rPr>
                <w:rFonts w:eastAsiaTheme="minorHAnsi" w:cstheme="minorBidi"/>
                <w:b/>
                <w:sz w:val="24"/>
              </w:rPr>
            </w:pPr>
            <w:r w:rsidRPr="001F5897">
              <w:rPr>
                <w:rFonts w:eastAsiaTheme="minorHAnsi" w:cstheme="minorBidi"/>
                <w:b/>
                <w:sz w:val="24"/>
              </w:rPr>
              <w:t>333</w:t>
            </w:r>
          </w:p>
        </w:tc>
        <w:tc>
          <w:tcPr>
            <w:tcW w:w="1984" w:type="dxa"/>
            <w:shd w:val="clear" w:color="auto" w:fill="E5B8B7" w:themeFill="accent2" w:themeFillTint="66"/>
          </w:tcPr>
          <w:p w14:paraId="5240F254" w14:textId="77777777" w:rsidR="00E222DA" w:rsidRPr="001F5897" w:rsidRDefault="00E222DA" w:rsidP="00D21CC6">
            <w:pPr>
              <w:spacing w:after="120"/>
              <w:jc w:val="center"/>
              <w:rPr>
                <w:rFonts w:eastAsiaTheme="minorHAnsi" w:cstheme="minorBidi"/>
                <w:b/>
                <w:sz w:val="24"/>
              </w:rPr>
            </w:pPr>
            <w:r w:rsidRPr="001F5897">
              <w:rPr>
                <w:rFonts w:eastAsiaTheme="minorHAnsi" w:cstheme="minorBidi"/>
                <w:b/>
                <w:sz w:val="24"/>
              </w:rPr>
              <w:t>301</w:t>
            </w:r>
          </w:p>
        </w:tc>
        <w:tc>
          <w:tcPr>
            <w:tcW w:w="1843" w:type="dxa"/>
            <w:shd w:val="clear" w:color="auto" w:fill="E5B8B7" w:themeFill="accent2" w:themeFillTint="66"/>
          </w:tcPr>
          <w:p w14:paraId="209D6D2A" w14:textId="77777777" w:rsidR="00E222DA" w:rsidRPr="001F5897" w:rsidRDefault="00E222DA" w:rsidP="00D21CC6">
            <w:pPr>
              <w:spacing w:after="120"/>
              <w:jc w:val="center"/>
              <w:rPr>
                <w:rFonts w:eastAsiaTheme="minorHAnsi" w:cstheme="minorBidi"/>
                <w:b/>
                <w:sz w:val="24"/>
              </w:rPr>
            </w:pPr>
            <w:r w:rsidRPr="001F5897">
              <w:rPr>
                <w:rFonts w:eastAsiaTheme="minorHAnsi" w:cstheme="minorBidi"/>
                <w:b/>
                <w:sz w:val="24"/>
              </w:rPr>
              <w:t>430</w:t>
            </w:r>
          </w:p>
        </w:tc>
        <w:tc>
          <w:tcPr>
            <w:tcW w:w="3118" w:type="dxa"/>
            <w:shd w:val="clear" w:color="auto" w:fill="E5B8B7" w:themeFill="accent2" w:themeFillTint="66"/>
          </w:tcPr>
          <w:p w14:paraId="5271A645" w14:textId="77777777" w:rsidR="00E222DA" w:rsidRPr="001F5897" w:rsidRDefault="00E222DA" w:rsidP="00D21CC6">
            <w:pPr>
              <w:spacing w:after="120"/>
              <w:jc w:val="center"/>
              <w:rPr>
                <w:rFonts w:eastAsiaTheme="minorHAnsi" w:cstheme="minorBidi"/>
                <w:b/>
                <w:sz w:val="24"/>
              </w:rPr>
            </w:pPr>
            <w:r w:rsidRPr="001F5897">
              <w:rPr>
                <w:rFonts w:eastAsiaTheme="minorHAnsi" w:cstheme="minorBidi"/>
                <w:b/>
                <w:sz w:val="24"/>
              </w:rPr>
              <w:t>70</w:t>
            </w:r>
          </w:p>
        </w:tc>
      </w:tr>
    </w:tbl>
    <w:p w14:paraId="60AABA45"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p>
    <w:p w14:paraId="10B8D9B0"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r w:rsidRPr="001F5897">
        <w:t xml:space="preserve">Graph No. 4: Graph of countries that requested information from FSJ the most in 2014 </w:t>
      </w:r>
    </w:p>
    <w:p w14:paraId="1E83E8A4"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noProof/>
          <w:sz w:val="24"/>
          <w:lang w:val="sk-SK"/>
        </w:rPr>
        <w:drawing>
          <wp:inline distT="0" distB="0" distL="0" distR="0" wp14:anchorId="229A4C82" wp14:editId="1475D33F">
            <wp:extent cx="5721350" cy="3003550"/>
            <wp:effectExtent l="0" t="0" r="12700" b="25400"/>
            <wp:docPr id="9" name="Graf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809BCB"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p>
    <w:p w14:paraId="50D231CB"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p>
    <w:p w14:paraId="2ACD0925"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p>
    <w:p w14:paraId="16E4A676"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p>
    <w:p w14:paraId="71E587C5"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r w:rsidRPr="001F5897">
        <w:lastRenderedPageBreak/>
        <w:t xml:space="preserve">Graph No. 5: Graph of the countries to which FSJ sent requests for information the most in 2014 </w:t>
      </w:r>
    </w:p>
    <w:p w14:paraId="0D968648"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1F5897">
        <w:rPr>
          <w:noProof/>
          <w:sz w:val="24"/>
          <w:lang w:val="sk-SK"/>
        </w:rPr>
        <w:drawing>
          <wp:inline distT="0" distB="0" distL="0" distR="0" wp14:anchorId="0735DE53" wp14:editId="389EBFBD">
            <wp:extent cx="5756910" cy="2850080"/>
            <wp:effectExtent l="19050" t="0" r="15240" b="7420"/>
            <wp:docPr id="19" name="Graf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AA396B"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37699FBA"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F5897">
        <w:t xml:space="preserve">Graph No. 6:  Graph of the countries to which FSJ sent spontaneous information for further utilization the most in 2014 </w:t>
      </w:r>
    </w:p>
    <w:p w14:paraId="6A2184F3"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rPr>
      </w:pPr>
      <w:r w:rsidRPr="001F5897">
        <w:rPr>
          <w:noProof/>
          <w:sz w:val="24"/>
          <w:lang w:val="sk-SK"/>
        </w:rPr>
        <w:drawing>
          <wp:inline distT="0" distB="0" distL="0" distR="0" wp14:anchorId="3D2E883B" wp14:editId="3D2D1FB8">
            <wp:extent cx="5753100" cy="3397250"/>
            <wp:effectExtent l="0" t="0" r="19050" b="12700"/>
            <wp:docPr id="10" name="Obj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F64B13"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ab/>
      </w:r>
    </w:p>
    <w:p w14:paraId="5DAAE7D9"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ab/>
        <w:t xml:space="preserve">Based on the a.m. statistics it is possible to say, that the number of the requests for information sent abroad or vice-versa sent from abroad to FSJ has an increasing tendency, because of the international organized crime and legalization of proceeds of criminal activity are a global issues nowadays.  </w:t>
      </w:r>
    </w:p>
    <w:p w14:paraId="008D68C5"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rPr>
          <w:sz w:val="24"/>
        </w:rPr>
      </w:pPr>
      <w:r w:rsidRPr="001F5897">
        <w:rPr>
          <w:sz w:val="24"/>
        </w:rPr>
        <w:tab/>
        <w:t xml:space="preserve">FSJ is one of the most active FIUs when it comes to the international cooperation because of its considerable participation in development of international cooperation with the fight against legalization of proceeds of criminal activity and terrorist financing. According to available statistics concerning requests and additional requests sent through computer network FIU.NET, which are published on the web site </w:t>
      </w:r>
      <w:hyperlink r:id="rId20" w:history="1">
        <w:r w:rsidRPr="001F5897">
          <w:rPr>
            <w:rStyle w:val="Hyperlink1"/>
            <w:sz w:val="24"/>
          </w:rPr>
          <w:t>www.fiu.net</w:t>
        </w:r>
      </w:hyperlink>
      <w:r w:rsidRPr="001F5897">
        <w:rPr>
          <w:sz w:val="24"/>
        </w:rPr>
        <w:t xml:space="preserve">, FSJ was the fourth most active </w:t>
      </w:r>
      <w:r w:rsidRPr="001F5897">
        <w:rPr>
          <w:sz w:val="24"/>
        </w:rPr>
        <w:lastRenderedPageBreak/>
        <w:t xml:space="preserve">FIU among the 26 actively connected FIUs in first 10 months of the 2014. In mentioned period FSJ sent 985 requests and received 71 requests.  </w:t>
      </w:r>
    </w:p>
    <w:p w14:paraId="4BF9077C"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sz w:val="24"/>
        </w:rPr>
      </w:pPr>
      <w:r w:rsidRPr="001F5897">
        <w:rPr>
          <w:sz w:val="24"/>
        </w:rPr>
        <w:t>Cooperation with the Property Check-up Department in the execution of tasks of FSJ resulting from the decision of the European Union No.: 2007/845/SVV is also significant when assessing the activities of International Cooperation Department in 2014.</w:t>
      </w:r>
      <w:r w:rsidRPr="001F5897">
        <w:rPr>
          <w:sz w:val="24"/>
        </w:rPr>
        <w:tab/>
      </w:r>
    </w:p>
    <w:p w14:paraId="2BA1098C"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ab/>
        <w:t xml:space="preserve">For purpose of effective fight against a cross-border criminal activity performed with the mainspring of financial benefit, which motivates criminals to continue committing the crime with the aim to gain larger profit, it is necessary to exchange information among countries quickly, because exchanged information may lead to search and seizure of proceeds of criminal activity or other assets gained by illicit income. Also in this regard FSJ finds international cooperation as a significant precondition for efficient work in field of the fight against legalization of proceeds of criminal activity and terrorist financing on national level as well as on the international level.  </w:t>
      </w:r>
    </w:p>
    <w:p w14:paraId="5BF81B92"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ab/>
        <w:t xml:space="preserve"> The other main activities of FSJ on an international level consisted of participation of International Cooperation Department´s officers in sessions of working groups and committees of the European Committee, the Council of Europe, etc., mainly:</w:t>
      </w:r>
    </w:p>
    <w:p w14:paraId="58469677" w14:textId="77777777" w:rsidR="00E222DA" w:rsidRPr="001F5897" w:rsidRDefault="00E222DA" w:rsidP="00E222DA">
      <w:pPr>
        <w:pStyle w:val="Odsekzoznamu"/>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ind w:left="720" w:hanging="360"/>
        <w:contextualSpacing w:val="0"/>
        <w:jc w:val="both"/>
      </w:pPr>
      <w:r w:rsidRPr="001F5897">
        <w:t>Committee for the Prevention of Money Laundering and Terrorist Financing which is one of the subcommittees of the European Committee, DG Internal Market and Services;</w:t>
      </w:r>
    </w:p>
    <w:p w14:paraId="270738AF" w14:textId="77777777" w:rsidR="00E222DA" w:rsidRPr="001F5897" w:rsidRDefault="00E222DA" w:rsidP="00E222DA">
      <w:pPr>
        <w:pStyle w:val="Odsekzoznamu"/>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ind w:left="720" w:hanging="360"/>
        <w:contextualSpacing w:val="0"/>
        <w:jc w:val="both"/>
      </w:pPr>
      <w:r w:rsidRPr="001F5897">
        <w:t>FIU Platform which brings together FIUs of the Member States and is one of the subcommittees of the European Committee, DG Justice, Freedom and Security;</w:t>
      </w:r>
    </w:p>
    <w:p w14:paraId="5B16692A" w14:textId="77777777" w:rsidR="00E222DA" w:rsidRPr="001F5897" w:rsidRDefault="00E222DA" w:rsidP="00E222DA">
      <w:pPr>
        <w:pStyle w:val="Odsekzoznamu"/>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ind w:left="720" w:hanging="360"/>
        <w:contextualSpacing w:val="0"/>
        <w:jc w:val="both"/>
      </w:pPr>
      <w:r w:rsidRPr="001F5897">
        <w:t>Meeting of the parties of Council of Europe Convention No198/2005 on Laundering, Search, Seizure and Confiscation of the Proceeds from Crime and on the Financing of Terrorism;</w:t>
      </w:r>
    </w:p>
    <w:p w14:paraId="05CD5710" w14:textId="77777777" w:rsidR="00E222DA" w:rsidRPr="001F5897" w:rsidRDefault="00E222DA" w:rsidP="00E222DA">
      <w:pPr>
        <w:pStyle w:val="Odsekzoznamu"/>
        <w:numPr>
          <w:ilvl w:val="0"/>
          <w:numId w:val="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ind w:left="720" w:hanging="360"/>
        <w:contextualSpacing w:val="0"/>
        <w:jc w:val="both"/>
      </w:pPr>
      <w:r w:rsidRPr="001F5897">
        <w:t>Committee of Experts of the Council of Europe on the Evaluation of Anti-Money Laundering Measures and Financing of Terrorism – MONEYVAL.</w:t>
      </w:r>
    </w:p>
    <w:p w14:paraId="3191BC62" w14:textId="1C452A44"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sz w:val="24"/>
        </w:rPr>
      </w:pPr>
      <w:r w:rsidRPr="001F5897">
        <w:rPr>
          <w:sz w:val="24"/>
        </w:rPr>
        <w:t xml:space="preserve">With a view to strengthen the quality of the international cooperation of partner </w:t>
      </w:r>
      <w:r w:rsidR="00D27D22" w:rsidRPr="001F5897">
        <w:rPr>
          <w:sz w:val="24"/>
        </w:rPr>
        <w:t>neighbouring</w:t>
      </w:r>
      <w:r w:rsidRPr="001F5897">
        <w:rPr>
          <w:sz w:val="24"/>
        </w:rPr>
        <w:t xml:space="preserve"> FIUs (Austria, Czech Republic, Poland and the Slovak Republic), there are regional workshops held every year. Representative of mentioned </w:t>
      </w:r>
      <w:r w:rsidR="00D27D22" w:rsidRPr="001F5897">
        <w:rPr>
          <w:sz w:val="24"/>
        </w:rPr>
        <w:t>neighbouring</w:t>
      </w:r>
      <w:r w:rsidRPr="001F5897">
        <w:rPr>
          <w:sz w:val="24"/>
        </w:rPr>
        <w:t xml:space="preserve"> FIUs are regular attendants of these regional workshops. </w:t>
      </w:r>
    </w:p>
    <w:p w14:paraId="3EF4BE96"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sz w:val="24"/>
        </w:rPr>
      </w:pPr>
      <w:r w:rsidRPr="001F5897">
        <w:rPr>
          <w:sz w:val="24"/>
        </w:rPr>
        <w:t>Based on the invitation from FIU Poland there was a regional workshop held in 2014.  The following main topics of this session were presented by attendants: “Carrousel Tax Frauds Concerning Fuel Trade” and “Virtual Currency Issues”. Other acute issues related to activities of particular FIUs have been discussed, especially improving the efficiency of mutual cooperation in information exchange. Due to the fact that technology and the means used by criminals are constantly developing and improving, the nature of threats of ML/TF is changing, so it is necessary to ensure progress in the reaction to these threats.</w:t>
      </w:r>
      <w:bookmarkStart w:id="6" w:name="GoBack"/>
      <w:bookmarkEnd w:id="6"/>
    </w:p>
    <w:p w14:paraId="4E40692B" w14:textId="77777777" w:rsidR="00E222DA" w:rsidRPr="001F5897" w:rsidRDefault="00E222DA" w:rsidP="00D21CC6">
      <w:pPr>
        <w:pStyle w:val="Nzovkapitoly"/>
      </w:pPr>
    </w:p>
    <w:p w14:paraId="180F66F2" w14:textId="77777777" w:rsidR="00E222DA" w:rsidRPr="001F5897" w:rsidRDefault="00E222DA" w:rsidP="00E222DA">
      <w:pPr>
        <w:pStyle w:val="Nzovkapitol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val="0"/>
        </w:rPr>
      </w:pPr>
      <w:bookmarkStart w:id="7" w:name="TOC412466391"/>
      <w:r w:rsidRPr="001F5897">
        <w:t xml:space="preserve">5. </w:t>
      </w:r>
      <w:bookmarkEnd w:id="7"/>
      <w:r w:rsidRPr="001F5897">
        <w:t>Financial and property verification</w:t>
      </w:r>
    </w:p>
    <w:p w14:paraId="21ED20F7"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Bold" w:hAnsi="Times New Roman Bold"/>
          <w:sz w:val="24"/>
        </w:rPr>
      </w:pPr>
    </w:p>
    <w:p w14:paraId="21166F69" w14:textId="77EAD33B"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ab/>
        <w:t xml:space="preserve">According to the internal acts of the National Criminal Agency of Police Force Presidium (hereinafter referred to as „NAKA P PZ“) the Property Check-up Department </w:t>
      </w:r>
      <w:r w:rsidR="001F5897" w:rsidRPr="001F5897">
        <w:rPr>
          <w:sz w:val="24"/>
        </w:rPr>
        <w:t>fulfils</w:t>
      </w:r>
      <w:r w:rsidRPr="001F5897">
        <w:rPr>
          <w:sz w:val="24"/>
        </w:rPr>
        <w:t xml:space="preserve"> tasks in the field of financial and property verification. </w:t>
      </w:r>
    </w:p>
    <w:p w14:paraId="74BCD427"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p>
    <w:p w14:paraId="7ED0D4A9" w14:textId="77777777" w:rsidR="00D21CC6" w:rsidRPr="001F5897" w:rsidRDefault="00D21CC6"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p>
    <w:p w14:paraId="0B23C12D" w14:textId="66B661D8" w:rsidR="00E222DA" w:rsidRPr="001F5897" w:rsidRDefault="00E222DA" w:rsidP="00D21CC6">
      <w:pPr>
        <w:pStyle w:val="Podnadpi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val="0"/>
        </w:rPr>
      </w:pPr>
      <w:bookmarkStart w:id="8" w:name="TOC412466392"/>
      <w:r w:rsidRPr="001F5897">
        <w:lastRenderedPageBreak/>
        <w:t xml:space="preserve">5.1 Financial verification, Tracing of Assets and </w:t>
      </w:r>
      <w:r w:rsidR="003C161E">
        <w:t>development</w:t>
      </w:r>
      <w:r w:rsidRPr="001F5897">
        <w:t xml:space="preserve"> of the Property Profile</w:t>
      </w:r>
      <w:bookmarkEnd w:id="8"/>
    </w:p>
    <w:p w14:paraId="75B68920"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p>
    <w:p w14:paraId="76B79026"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rFonts w:ascii="Times" w:hAnsi="Times"/>
          <w:sz w:val="24"/>
        </w:rPr>
      </w:pPr>
      <w:r w:rsidRPr="001F5897">
        <w:rPr>
          <w:sz w:val="24"/>
        </w:rPr>
        <w:t>According to the Section 1 of the Decision of the Council of the European Union No. 2007/845/JHA it was necessary to establish, or designate the national body of every member state for the purpose to facilitate the tracing and identification of proceeds of crime and other property related to crime, which may be involved in criminal proceedings and by order of the competent judicial authority frozen, seized or confiscated.</w:t>
      </w:r>
    </w:p>
    <w:p w14:paraId="7B2207D9" w14:textId="2355B741"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sz w:val="24"/>
        </w:rPr>
      </w:pPr>
      <w:r w:rsidRPr="001F5897">
        <w:rPr>
          <w:sz w:val="24"/>
        </w:rPr>
        <w:t xml:space="preserve">FSJ Slovakia </w:t>
      </w:r>
      <w:r w:rsidR="001F5897" w:rsidRPr="001F5897">
        <w:rPr>
          <w:sz w:val="24"/>
        </w:rPr>
        <w:t>fulfils</w:t>
      </w:r>
      <w:r w:rsidRPr="001F5897">
        <w:rPr>
          <w:sz w:val="24"/>
        </w:rPr>
        <w:t xml:space="preserve"> the role of the national Asset Recovery Office (ARO) in the field of tracing assets since 2008. The tracing of assets is performed by the Property Check-up Department (previous title was „Property Check-up Department of the Financial Intelligence Unit of Bureau of Organized Crime of Police Force Presidium” in 2008.) </w:t>
      </w:r>
    </w:p>
    <w:p w14:paraId="63940E62" w14:textId="5AE5AC2B"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rFonts w:ascii="Times" w:hAnsi="Times"/>
          <w:sz w:val="24"/>
        </w:rPr>
      </w:pPr>
      <w:r w:rsidRPr="001F5897">
        <w:rPr>
          <w:sz w:val="24"/>
        </w:rPr>
        <w:t xml:space="preserve">This department is an executive and operative unit which </w:t>
      </w:r>
      <w:r w:rsidR="001F5897" w:rsidRPr="001F5897">
        <w:rPr>
          <w:sz w:val="24"/>
        </w:rPr>
        <w:t>fulfils</w:t>
      </w:r>
      <w:r w:rsidRPr="001F5897">
        <w:rPr>
          <w:sz w:val="24"/>
        </w:rPr>
        <w:t xml:space="preserve"> tasks in accordance with the Decision of the Council of the European Union No. 2007/845/SVV. Mentioned tasks are fulfilled on the basis of procedures and deadlines applying, which is set out in the Framework Decision of the Council of the European Union No. 2006/960/SVV, where rules are determined with the purpose to gain and provide particulars and information to global network members for their further utilization in the field of cross-border identification, freezing, seizure and confiscation of proceeds of crime and other crime related property.</w:t>
      </w:r>
    </w:p>
    <w:p w14:paraId="41F8BDDD"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sz w:val="24"/>
          <w:shd w:val="clear" w:color="auto" w:fill="FFFF33"/>
        </w:rPr>
      </w:pPr>
      <w:r w:rsidRPr="001F5897">
        <w:rPr>
          <w:sz w:val="24"/>
        </w:rPr>
        <w:t>According to the procedures set out in the Decision of the Council of the European Union No. 2006/960/SVV one of the essential tasks fulfilled by the Property Check-up Department is the cooperation and exchange of information and intelligence information among the partner AROs of the member states of the European Union. Providing of mentioned information is limited to information, which is considered as important and necessary for successful prevention and disclosure or investigation of criminal activity. Mutual communication is performed using secured electronic networks and the channel SIENA, which is highly protected from misuse or information leak. It is also possible to communicate via electronic mail.</w:t>
      </w:r>
    </w:p>
    <w:p w14:paraId="7E988F36"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sz w:val="24"/>
        </w:rPr>
      </w:pPr>
      <w:r w:rsidRPr="001F5897">
        <w:rPr>
          <w:sz w:val="24"/>
        </w:rPr>
        <w:t xml:space="preserve"> Information exchange and the mutual cooperation with third countries are carried out through The Camden Assets Recovery Inter-Agency Network (hereinafter referred to as „CARIN”), which is an informal global network of practitioners and experts with the intention of improving mutual knowledge on methodologies and techniques in the area of cross-border identification, freezing, seizure and confiscation of proceeds from crime and other crime related property.</w:t>
      </w:r>
    </w:p>
    <w:p w14:paraId="3DBB1935" w14:textId="705E8673"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sz w:val="24"/>
        </w:rPr>
      </w:pPr>
      <w:r w:rsidRPr="001F5897">
        <w:rPr>
          <w:sz w:val="24"/>
        </w:rPr>
        <w:t xml:space="preserve">The Property Check-up Department traces, collects, evaluates and utilizes economic and financial information within the framework of its activities. </w:t>
      </w:r>
      <w:r w:rsidR="001F5897" w:rsidRPr="001F5897">
        <w:rPr>
          <w:sz w:val="24"/>
        </w:rPr>
        <w:t>This</w:t>
      </w:r>
      <w:r w:rsidRPr="001F5897">
        <w:rPr>
          <w:sz w:val="24"/>
        </w:rPr>
        <w:t xml:space="preserve"> information </w:t>
      </w:r>
      <w:bookmarkStart w:id="9" w:name="_GoBack"/>
      <w:bookmarkEnd w:id="9"/>
      <w:r w:rsidR="00D27D22" w:rsidRPr="001F5897">
        <w:rPr>
          <w:sz w:val="24"/>
        </w:rPr>
        <w:t>is</w:t>
      </w:r>
      <w:r w:rsidRPr="001F5897">
        <w:rPr>
          <w:sz w:val="24"/>
        </w:rPr>
        <w:t xml:space="preserve"> important for the identification of proceeds of criminal activity. Property Check-up Department also seeks and gains information, which </w:t>
      </w:r>
      <w:r w:rsidR="001F5897" w:rsidRPr="001F5897">
        <w:rPr>
          <w:sz w:val="24"/>
        </w:rPr>
        <w:t>is</w:t>
      </w:r>
      <w:r w:rsidRPr="001F5897">
        <w:rPr>
          <w:sz w:val="24"/>
        </w:rPr>
        <w:t xml:space="preserve"> utilized by law enforcement agency in further proceedings heading to property confiscation. </w:t>
      </w:r>
    </w:p>
    <w:p w14:paraId="4DC2D334" w14:textId="780B8274"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sz w:val="24"/>
        </w:rPr>
      </w:pPr>
      <w:r w:rsidRPr="001F5897">
        <w:rPr>
          <w:sz w:val="24"/>
        </w:rPr>
        <w:t>Property profiles are elaborated for needs of law enforcement agency by the Property Check-up Department, with the purpose to exercise Art. 119 (1</w:t>
      </w:r>
      <w:proofErr w:type="gramStart"/>
      <w:r w:rsidRPr="001F5897">
        <w:rPr>
          <w:sz w:val="24"/>
        </w:rPr>
        <w:t>)(</w:t>
      </w:r>
      <w:proofErr w:type="gramEnd"/>
      <w:r w:rsidRPr="001F5897">
        <w:rPr>
          <w:sz w:val="24"/>
        </w:rPr>
        <w:t>f) of the Criminal Procedure thoroughly. According to this provision, it is necessary to present the evidence concerning proceeds of criminal activity, means used in its commission, their location, character, state and price, as well as to present evidence for any other purposes set out in the Criminal Procedure (securing the imprisonment sentence, securing of the protective measure or securing the claim of the injured within the criminal proceedings</w:t>
      </w:r>
      <w:r w:rsidR="001F5897" w:rsidRPr="001F5897">
        <w:rPr>
          <w:sz w:val="24"/>
        </w:rPr>
        <w:t>).</w:t>
      </w:r>
    </w:p>
    <w:p w14:paraId="462D60A2" w14:textId="359E8E8C"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sz w:val="24"/>
        </w:rPr>
      </w:pPr>
      <w:r w:rsidRPr="001F5897">
        <w:rPr>
          <w:sz w:val="24"/>
        </w:rPr>
        <w:t xml:space="preserve">In 2014 Property Check-up Department received total 92 requests for property profile elaboration sent from LEA or requests to trace a property sent from foreign units. 13 requests </w:t>
      </w:r>
      <w:r w:rsidRPr="001F5897">
        <w:rPr>
          <w:sz w:val="24"/>
        </w:rPr>
        <w:lastRenderedPageBreak/>
        <w:t xml:space="preserve">for property profile elaboration from a.m. total 92 requests were sent from Slovak Police authorities (one case concerned property profile elaboration for the purposes of tasks </w:t>
      </w:r>
      <w:r w:rsidR="001F5897" w:rsidRPr="001F5897">
        <w:rPr>
          <w:sz w:val="24"/>
        </w:rPr>
        <w:t>fulfilment</w:t>
      </w:r>
      <w:r w:rsidRPr="001F5897">
        <w:rPr>
          <w:sz w:val="24"/>
        </w:rPr>
        <w:t xml:space="preserve"> of FSJ). The international cooperation was applied in four of these cases by contacting partner AROs. One request for property profile elaboration was received from District Prosecutor’s Office.</w:t>
      </w:r>
    </w:p>
    <w:p w14:paraId="55E11286"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color w:val="1C1C1C"/>
          <w:sz w:val="24"/>
        </w:rPr>
      </w:pPr>
      <w:r w:rsidRPr="001F5897">
        <w:rPr>
          <w:sz w:val="24"/>
        </w:rPr>
        <w:t>Of the mentioned 12 requests for property profile elaborations (sent from units or departments, except FSJ departments) there were 11 requests received from LEA, specifically from units of NAKA P PZ (9 requests were received from National Anti-Crime Unit (hereinafter referred to as „NPZJ“), one request was received from National Anti-Corruption Unit (hereinafter referred to as „NPKJ“), and one request was received from the National Unit of Financial Police (hereinafter referred to as „NJFP“). One request was also received from Regional Police Headquarters of the Police Force.</w:t>
      </w:r>
    </w:p>
    <w:p w14:paraId="36907932"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pPr>
      <w:r w:rsidRPr="001F5897">
        <w:t>Chart No. 15: Summary of requests for property profile elaboration sent from LEA to FSJ in 2014</w:t>
      </w:r>
      <w:r w:rsidRPr="001F5897">
        <w:rPr>
          <w:sz w:val="24"/>
        </w:rPr>
        <w:tab/>
      </w:r>
    </w:p>
    <w:tbl>
      <w:tblPr>
        <w:tblW w:w="0" w:type="auto"/>
        <w:jc w:val="center"/>
        <w:tblLayout w:type="fixed"/>
        <w:tblLook w:val="0000" w:firstRow="0" w:lastRow="0" w:firstColumn="0" w:lastColumn="0" w:noHBand="0" w:noVBand="0"/>
      </w:tblPr>
      <w:tblGrid>
        <w:gridCol w:w="1509"/>
        <w:gridCol w:w="1509"/>
        <w:gridCol w:w="1509"/>
        <w:gridCol w:w="1509"/>
        <w:gridCol w:w="1509"/>
        <w:gridCol w:w="1510"/>
      </w:tblGrid>
      <w:tr w:rsidR="00E222DA" w:rsidRPr="001F5897" w14:paraId="3AF21751" w14:textId="77777777" w:rsidTr="00D21CC6">
        <w:trPr>
          <w:cantSplit/>
          <w:trHeight w:val="350"/>
          <w:jc w:val="center"/>
        </w:trPr>
        <w:tc>
          <w:tcPr>
            <w:tcW w:w="9055" w:type="dxa"/>
            <w:gridSpan w:val="6"/>
            <w:tcBorders>
              <w:top w:val="single" w:sz="4" w:space="0" w:color="000000"/>
              <w:left w:val="single" w:sz="4" w:space="0" w:color="000000"/>
              <w:bottom w:val="single" w:sz="4" w:space="0" w:color="000000"/>
              <w:right w:val="single" w:sz="4" w:space="0" w:color="000000"/>
            </w:tcBorders>
            <w:shd w:val="clear" w:color="auto" w:fill="E5B8B7"/>
            <w:tcMar>
              <w:top w:w="0" w:type="dxa"/>
              <w:left w:w="0" w:type="dxa"/>
              <w:bottom w:w="0" w:type="dxa"/>
              <w:right w:w="0" w:type="dxa"/>
            </w:tcMar>
            <w:vAlign w:val="center"/>
          </w:tcPr>
          <w:p w14:paraId="5F8636D3"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b/>
                <w:sz w:val="24"/>
                <w:lang w:val="en-GB"/>
              </w:rPr>
            </w:pPr>
            <w:r w:rsidRPr="001F5897">
              <w:rPr>
                <w:rFonts w:ascii="Times New Roman" w:hAnsi="Times New Roman"/>
                <w:b/>
                <w:sz w:val="24"/>
                <w:lang w:val="en-GB"/>
              </w:rPr>
              <w:t>Requests for property profile elaboration sent from LEA in 2014</w:t>
            </w:r>
          </w:p>
        </w:tc>
      </w:tr>
      <w:tr w:rsidR="00E222DA" w:rsidRPr="001F5897" w14:paraId="4EAE9EA0" w14:textId="77777777" w:rsidTr="00D21CC6">
        <w:trPr>
          <w:cantSplit/>
          <w:trHeight w:val="350"/>
          <w:jc w:val="center"/>
        </w:trPr>
        <w:tc>
          <w:tcPr>
            <w:tcW w:w="4527" w:type="dxa"/>
            <w:gridSpan w:val="3"/>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14:paraId="74755005"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NAKA P PZ</w:t>
            </w:r>
          </w:p>
        </w:tc>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14:paraId="538BC89A"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Own request</w:t>
            </w:r>
          </w:p>
        </w:tc>
        <w:tc>
          <w:tcPr>
            <w:tcW w:w="3019" w:type="dxa"/>
            <w:gridSpan w:val="2"/>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14:paraId="349B8E4B"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The other LEA</w:t>
            </w:r>
          </w:p>
        </w:tc>
      </w:tr>
      <w:tr w:rsidR="00E222DA" w:rsidRPr="001F5897" w14:paraId="4F16BA34" w14:textId="77777777" w:rsidTr="00D21CC6">
        <w:trPr>
          <w:cantSplit/>
          <w:trHeight w:val="150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14:paraId="1C082FA0"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NJFP</w:t>
            </w:r>
          </w:p>
        </w:tc>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14:paraId="0117DC41"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NPZJ</w:t>
            </w:r>
          </w:p>
        </w:tc>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14:paraId="0B6955E6"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NPKJ</w:t>
            </w:r>
          </w:p>
        </w:tc>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14:paraId="63111971"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FSJ</w:t>
            </w:r>
          </w:p>
        </w:tc>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14:paraId="2209F4EF"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Regional Police Headquarters of the Police Force</w:t>
            </w:r>
          </w:p>
        </w:tc>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vAlign w:val="center"/>
          </w:tcPr>
          <w:p w14:paraId="73062DC4"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District Prosecutor’s Office</w:t>
            </w:r>
          </w:p>
        </w:tc>
      </w:tr>
      <w:tr w:rsidR="00E222DA" w:rsidRPr="001F5897" w14:paraId="3A453C1E" w14:textId="77777777" w:rsidTr="00D21CC6">
        <w:trPr>
          <w:cantSplit/>
          <w:trHeight w:val="350"/>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14:paraId="35F23C6D"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14:paraId="2904EBC7"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9</w:t>
            </w:r>
          </w:p>
        </w:tc>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14:paraId="3CD60464"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14:paraId="797334A9"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14:paraId="53B82A69"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1</w:t>
            </w:r>
          </w:p>
        </w:tc>
        <w:tc>
          <w:tcPr>
            <w:tcW w:w="1509" w:type="dxa"/>
            <w:tcBorders>
              <w:top w:val="single" w:sz="4" w:space="0" w:color="000000"/>
              <w:left w:val="single" w:sz="4" w:space="0" w:color="000000"/>
              <w:bottom w:val="single" w:sz="4" w:space="0" w:color="000000"/>
              <w:right w:val="single" w:sz="4" w:space="0" w:color="000000"/>
            </w:tcBorders>
            <w:shd w:val="clear" w:color="auto" w:fill="F2DBDB"/>
            <w:tcMar>
              <w:top w:w="0" w:type="dxa"/>
              <w:left w:w="0" w:type="dxa"/>
              <w:bottom w:w="0" w:type="dxa"/>
              <w:right w:w="0" w:type="dxa"/>
            </w:tcMar>
          </w:tcPr>
          <w:p w14:paraId="5B3FD117"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s>
              <w:spacing w:after="120"/>
              <w:jc w:val="center"/>
              <w:rPr>
                <w:rFonts w:ascii="Times New Roman" w:hAnsi="Times New Roman"/>
                <w:sz w:val="24"/>
                <w:lang w:val="en-GB"/>
              </w:rPr>
            </w:pPr>
            <w:r w:rsidRPr="001F5897">
              <w:rPr>
                <w:rFonts w:ascii="Times New Roman" w:hAnsi="Times New Roman"/>
                <w:sz w:val="24"/>
                <w:lang w:val="en-GB"/>
              </w:rPr>
              <w:t>1</w:t>
            </w:r>
          </w:p>
        </w:tc>
      </w:tr>
    </w:tbl>
    <w:p w14:paraId="0D201FCC" w14:textId="77777777" w:rsidR="00E222DA" w:rsidRPr="001F5897" w:rsidRDefault="00E222DA" w:rsidP="00E222D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sz w:val="20"/>
          <w:lang w:val="en-GB"/>
        </w:rPr>
      </w:pPr>
    </w:p>
    <w:p w14:paraId="247080DF"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firstLine="708"/>
        <w:rPr>
          <w:sz w:val="24"/>
        </w:rPr>
      </w:pPr>
      <w:r w:rsidRPr="001F5897">
        <w:rPr>
          <w:sz w:val="24"/>
        </w:rPr>
        <w:t xml:space="preserve">Other 78 requests received by Property Check-up Department were sent from 15 foreign countries, or more precisely, from their authorities established for tracing property. These authorities requested a detection of the property owned by natural persons and by legal entities, and also an identification of bank accounts, real properties or vehicles. The most requests (19) were sent from Hungary, 17 requests were sent from the Czech Republic, 11 from Poland, 6 from Austria and Ukraine (each country sent 6 requests), 4 from Italy, 3 from Belgium and France (each country sent 3 requests), 2 requests were sent from Germany, Romania and from the Netherlands and 1 request was received from Latvia, Denmark and Lithuania.   </w:t>
      </w:r>
    </w:p>
    <w:p w14:paraId="0B0CA17D"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t>Chart No. 16: Summary of requests sent to FSJ from foreign authorities established for tracing property in 2014</w:t>
      </w:r>
    </w:p>
    <w:tbl>
      <w:tblPr>
        <w:tblW w:w="0" w:type="auto"/>
        <w:tblInd w:w="5" w:type="dxa"/>
        <w:tblLayout w:type="fixed"/>
        <w:tblLook w:val="0000" w:firstRow="0" w:lastRow="0" w:firstColumn="0" w:lastColumn="0" w:noHBand="0" w:noVBand="0"/>
      </w:tblPr>
      <w:tblGrid>
        <w:gridCol w:w="1039"/>
        <w:gridCol w:w="965"/>
        <w:gridCol w:w="781"/>
        <w:gridCol w:w="909"/>
        <w:gridCol w:w="909"/>
        <w:gridCol w:w="998"/>
        <w:gridCol w:w="932"/>
        <w:gridCol w:w="1130"/>
        <w:gridCol w:w="1392"/>
      </w:tblGrid>
      <w:tr w:rsidR="00E222DA" w:rsidRPr="001F5897" w14:paraId="3F02D1A5" w14:textId="77777777" w:rsidTr="00D21CC6">
        <w:trPr>
          <w:cantSplit/>
          <w:trHeight w:val="350"/>
        </w:trPr>
        <w:tc>
          <w:tcPr>
            <w:tcW w:w="9055" w:type="dxa"/>
            <w:gridSpan w:val="9"/>
            <w:tcBorders>
              <w:top w:val="single" w:sz="4" w:space="0" w:color="000000"/>
              <w:left w:val="single" w:sz="4" w:space="0" w:color="000000"/>
              <w:bottom w:val="single" w:sz="4" w:space="0" w:color="000000"/>
              <w:right w:val="single" w:sz="4" w:space="0" w:color="000000"/>
            </w:tcBorders>
            <w:shd w:val="clear" w:color="auto" w:fill="FABF8F"/>
            <w:tcMar>
              <w:top w:w="0" w:type="dxa"/>
              <w:left w:w="0" w:type="dxa"/>
              <w:bottom w:w="0" w:type="dxa"/>
              <w:right w:w="0" w:type="dxa"/>
            </w:tcMar>
          </w:tcPr>
          <w:p w14:paraId="7E9BEDE8"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b/>
                <w:sz w:val="24"/>
                <w:lang w:val="en-GB"/>
              </w:rPr>
            </w:pPr>
            <w:r w:rsidRPr="001F5897">
              <w:rPr>
                <w:rFonts w:ascii="Times New Roman" w:hAnsi="Times New Roman"/>
                <w:b/>
                <w:sz w:val="24"/>
                <w:lang w:val="en-GB"/>
              </w:rPr>
              <w:t>Requests received from foreign authorities in 2014</w:t>
            </w:r>
          </w:p>
        </w:tc>
      </w:tr>
      <w:tr w:rsidR="00E222DA" w:rsidRPr="001F5897" w14:paraId="04D7B434" w14:textId="77777777" w:rsidTr="00D21CC6">
        <w:trPr>
          <w:cantSplit/>
          <w:trHeight w:val="780"/>
        </w:trPr>
        <w:tc>
          <w:tcPr>
            <w:tcW w:w="1039"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vAlign w:val="center"/>
          </w:tcPr>
          <w:p w14:paraId="6A31843A"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spacing w:after="120"/>
              <w:jc w:val="center"/>
              <w:rPr>
                <w:rFonts w:ascii="Times New Roman" w:hAnsi="Times New Roman"/>
                <w:sz w:val="20"/>
                <w:lang w:val="en-GB"/>
              </w:rPr>
            </w:pPr>
            <w:r w:rsidRPr="001F5897">
              <w:rPr>
                <w:rFonts w:ascii="Times New Roman" w:hAnsi="Times New Roman"/>
                <w:sz w:val="20"/>
                <w:lang w:val="en-GB"/>
              </w:rPr>
              <w:t>Hungary</w:t>
            </w:r>
          </w:p>
        </w:tc>
        <w:tc>
          <w:tcPr>
            <w:tcW w:w="965"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vAlign w:val="center"/>
          </w:tcPr>
          <w:p w14:paraId="08AA8462"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after="120"/>
              <w:jc w:val="center"/>
              <w:rPr>
                <w:rFonts w:ascii="Times New Roman" w:hAnsi="Times New Roman"/>
                <w:sz w:val="20"/>
                <w:lang w:val="en-GB"/>
              </w:rPr>
            </w:pPr>
            <w:r w:rsidRPr="001F5897">
              <w:rPr>
                <w:rFonts w:ascii="Times New Roman" w:hAnsi="Times New Roman"/>
                <w:sz w:val="20"/>
                <w:lang w:val="en-GB"/>
              </w:rPr>
              <w:t>the Czech Republic</w:t>
            </w:r>
          </w:p>
        </w:tc>
        <w:tc>
          <w:tcPr>
            <w:tcW w:w="781"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vAlign w:val="center"/>
          </w:tcPr>
          <w:p w14:paraId="10A558E1"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120"/>
              <w:jc w:val="center"/>
              <w:rPr>
                <w:rFonts w:ascii="Times New Roman" w:hAnsi="Times New Roman"/>
                <w:sz w:val="20"/>
                <w:lang w:val="en-GB"/>
              </w:rPr>
            </w:pPr>
            <w:r w:rsidRPr="001F5897">
              <w:rPr>
                <w:rFonts w:ascii="Times New Roman" w:hAnsi="Times New Roman"/>
                <w:sz w:val="20"/>
                <w:lang w:val="en-GB"/>
              </w:rPr>
              <w:t>Poland</w:t>
            </w:r>
          </w:p>
        </w:tc>
        <w:tc>
          <w:tcPr>
            <w:tcW w:w="909"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vAlign w:val="center"/>
          </w:tcPr>
          <w:p w14:paraId="324F68D6"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120"/>
              <w:jc w:val="center"/>
              <w:rPr>
                <w:rFonts w:ascii="Times New Roman" w:hAnsi="Times New Roman"/>
                <w:sz w:val="20"/>
                <w:lang w:val="en-GB"/>
              </w:rPr>
            </w:pPr>
            <w:r w:rsidRPr="001F5897">
              <w:rPr>
                <w:rFonts w:ascii="Times New Roman" w:hAnsi="Times New Roman"/>
                <w:sz w:val="20"/>
                <w:lang w:val="en-GB"/>
              </w:rPr>
              <w:t>Austria</w:t>
            </w:r>
          </w:p>
        </w:tc>
        <w:tc>
          <w:tcPr>
            <w:tcW w:w="909"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vAlign w:val="center"/>
          </w:tcPr>
          <w:p w14:paraId="2B759CF4"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120"/>
              <w:jc w:val="center"/>
              <w:rPr>
                <w:rFonts w:ascii="Times New Roman" w:hAnsi="Times New Roman"/>
                <w:sz w:val="20"/>
                <w:lang w:val="en-GB"/>
              </w:rPr>
            </w:pPr>
            <w:r w:rsidRPr="001F5897">
              <w:rPr>
                <w:rFonts w:ascii="Times New Roman" w:hAnsi="Times New Roman"/>
                <w:sz w:val="20"/>
                <w:lang w:val="en-GB"/>
              </w:rPr>
              <w:t>Ukraine</w:t>
            </w:r>
          </w:p>
        </w:tc>
        <w:tc>
          <w:tcPr>
            <w:tcW w:w="998"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vAlign w:val="center"/>
          </w:tcPr>
          <w:p w14:paraId="5A1313DB"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120"/>
              <w:jc w:val="center"/>
              <w:rPr>
                <w:rFonts w:ascii="Times New Roman" w:hAnsi="Times New Roman"/>
                <w:sz w:val="20"/>
                <w:lang w:val="en-GB"/>
              </w:rPr>
            </w:pPr>
            <w:r w:rsidRPr="001F5897">
              <w:rPr>
                <w:rFonts w:ascii="Times New Roman" w:hAnsi="Times New Roman"/>
                <w:sz w:val="20"/>
                <w:lang w:val="en-GB"/>
              </w:rPr>
              <w:t>Italy</w:t>
            </w:r>
          </w:p>
        </w:tc>
        <w:tc>
          <w:tcPr>
            <w:tcW w:w="932"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vAlign w:val="center"/>
          </w:tcPr>
          <w:p w14:paraId="28EDA2E2"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120"/>
              <w:jc w:val="center"/>
              <w:rPr>
                <w:rFonts w:ascii="Times New Roman" w:hAnsi="Times New Roman"/>
                <w:sz w:val="20"/>
                <w:lang w:val="en-GB"/>
              </w:rPr>
            </w:pPr>
            <w:r w:rsidRPr="001F5897">
              <w:rPr>
                <w:rFonts w:ascii="Times New Roman" w:hAnsi="Times New Roman"/>
                <w:sz w:val="20"/>
                <w:lang w:val="en-GB"/>
              </w:rPr>
              <w:t>Belgium</w:t>
            </w:r>
          </w:p>
        </w:tc>
        <w:tc>
          <w:tcPr>
            <w:tcW w:w="1130"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vAlign w:val="center"/>
          </w:tcPr>
          <w:p w14:paraId="3F8E8846"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jc w:val="center"/>
              <w:rPr>
                <w:rFonts w:ascii="Times New Roman" w:hAnsi="Times New Roman"/>
                <w:sz w:val="20"/>
                <w:lang w:val="en-GB"/>
              </w:rPr>
            </w:pPr>
            <w:r w:rsidRPr="001F5897">
              <w:rPr>
                <w:rFonts w:ascii="Times New Roman" w:hAnsi="Times New Roman"/>
                <w:sz w:val="20"/>
                <w:lang w:val="en-GB"/>
              </w:rPr>
              <w:t>France</w:t>
            </w:r>
          </w:p>
        </w:tc>
        <w:tc>
          <w:tcPr>
            <w:tcW w:w="1388"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vAlign w:val="center"/>
          </w:tcPr>
          <w:p w14:paraId="5A0ECCE8"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120"/>
              <w:jc w:val="center"/>
              <w:rPr>
                <w:rFonts w:ascii="Times New Roman" w:hAnsi="Times New Roman"/>
                <w:sz w:val="20"/>
                <w:lang w:val="en-GB"/>
              </w:rPr>
            </w:pPr>
            <w:r w:rsidRPr="001F5897">
              <w:rPr>
                <w:rFonts w:ascii="Times New Roman" w:hAnsi="Times New Roman"/>
                <w:sz w:val="20"/>
                <w:lang w:val="en-GB"/>
              </w:rPr>
              <w:t>Other states</w:t>
            </w:r>
          </w:p>
        </w:tc>
      </w:tr>
      <w:tr w:rsidR="00E222DA" w:rsidRPr="001F5897" w14:paraId="31599724" w14:textId="77777777" w:rsidTr="00D21CC6">
        <w:trPr>
          <w:cantSplit/>
          <w:trHeight w:val="350"/>
        </w:trPr>
        <w:tc>
          <w:tcPr>
            <w:tcW w:w="1039"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6228F326"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s>
              <w:spacing w:after="120"/>
              <w:jc w:val="center"/>
              <w:rPr>
                <w:rFonts w:ascii="Times New Roman" w:hAnsi="Times New Roman"/>
                <w:sz w:val="24"/>
                <w:lang w:val="en-GB"/>
              </w:rPr>
            </w:pPr>
            <w:r w:rsidRPr="001F5897">
              <w:rPr>
                <w:rFonts w:ascii="Times New Roman" w:hAnsi="Times New Roman"/>
                <w:sz w:val="24"/>
                <w:lang w:val="en-GB"/>
              </w:rPr>
              <w:t>19</w:t>
            </w:r>
          </w:p>
        </w:tc>
        <w:tc>
          <w:tcPr>
            <w:tcW w:w="965"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5804E4DA"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after="120"/>
              <w:jc w:val="center"/>
              <w:rPr>
                <w:rFonts w:ascii="Times New Roman" w:hAnsi="Times New Roman"/>
                <w:sz w:val="24"/>
                <w:lang w:val="en-GB"/>
              </w:rPr>
            </w:pPr>
            <w:r w:rsidRPr="001F5897">
              <w:rPr>
                <w:rFonts w:ascii="Times New Roman" w:hAnsi="Times New Roman"/>
                <w:sz w:val="24"/>
                <w:lang w:val="en-GB"/>
              </w:rPr>
              <w:t>17</w:t>
            </w:r>
          </w:p>
        </w:tc>
        <w:tc>
          <w:tcPr>
            <w:tcW w:w="781"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4ECC5630"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120"/>
              <w:jc w:val="center"/>
              <w:rPr>
                <w:rFonts w:ascii="Times New Roman" w:hAnsi="Times New Roman"/>
                <w:sz w:val="24"/>
                <w:lang w:val="en-GB"/>
              </w:rPr>
            </w:pPr>
            <w:r w:rsidRPr="001F5897">
              <w:rPr>
                <w:rFonts w:ascii="Times New Roman" w:hAnsi="Times New Roman"/>
                <w:sz w:val="24"/>
                <w:lang w:val="en-GB"/>
              </w:rPr>
              <w:t>11</w:t>
            </w:r>
          </w:p>
        </w:tc>
        <w:tc>
          <w:tcPr>
            <w:tcW w:w="909"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101344DC"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120"/>
              <w:jc w:val="center"/>
              <w:rPr>
                <w:rFonts w:ascii="Times New Roman" w:hAnsi="Times New Roman"/>
                <w:sz w:val="24"/>
                <w:lang w:val="en-GB"/>
              </w:rPr>
            </w:pPr>
            <w:r w:rsidRPr="001F5897">
              <w:rPr>
                <w:rFonts w:ascii="Times New Roman" w:hAnsi="Times New Roman"/>
                <w:sz w:val="24"/>
                <w:lang w:val="en-GB"/>
              </w:rPr>
              <w:t>6</w:t>
            </w:r>
          </w:p>
        </w:tc>
        <w:tc>
          <w:tcPr>
            <w:tcW w:w="909"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4E456218"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120"/>
              <w:jc w:val="center"/>
              <w:rPr>
                <w:rFonts w:ascii="Times New Roman" w:hAnsi="Times New Roman"/>
                <w:sz w:val="24"/>
                <w:lang w:val="en-GB"/>
              </w:rPr>
            </w:pPr>
            <w:r w:rsidRPr="001F5897">
              <w:rPr>
                <w:rFonts w:ascii="Times New Roman" w:hAnsi="Times New Roman"/>
                <w:sz w:val="24"/>
                <w:lang w:val="en-GB"/>
              </w:rPr>
              <w:t>6</w:t>
            </w:r>
          </w:p>
        </w:tc>
        <w:tc>
          <w:tcPr>
            <w:tcW w:w="998"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56D11912"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after="120"/>
              <w:jc w:val="center"/>
              <w:rPr>
                <w:rFonts w:ascii="Times New Roman" w:hAnsi="Times New Roman"/>
                <w:sz w:val="24"/>
                <w:lang w:val="en-GB"/>
              </w:rPr>
            </w:pPr>
            <w:r w:rsidRPr="001F5897">
              <w:rPr>
                <w:rFonts w:ascii="Times New Roman" w:hAnsi="Times New Roman"/>
                <w:sz w:val="24"/>
                <w:lang w:val="en-GB"/>
              </w:rPr>
              <w:t>4</w:t>
            </w:r>
          </w:p>
        </w:tc>
        <w:tc>
          <w:tcPr>
            <w:tcW w:w="932"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2EBBA606"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after="120"/>
              <w:jc w:val="center"/>
              <w:rPr>
                <w:rFonts w:ascii="Times New Roman" w:hAnsi="Times New Roman"/>
                <w:sz w:val="24"/>
                <w:lang w:val="en-GB"/>
              </w:rPr>
            </w:pPr>
            <w:r w:rsidRPr="001F5897">
              <w:rPr>
                <w:rFonts w:ascii="Times New Roman" w:hAnsi="Times New Roman"/>
                <w:sz w:val="24"/>
                <w:lang w:val="en-GB"/>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6FDD0FE4"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after="120"/>
              <w:jc w:val="center"/>
              <w:rPr>
                <w:rFonts w:ascii="Times New Roman" w:hAnsi="Times New Roman"/>
                <w:sz w:val="24"/>
                <w:lang w:val="en-GB"/>
              </w:rPr>
            </w:pPr>
            <w:r w:rsidRPr="001F5897">
              <w:rPr>
                <w:rFonts w:ascii="Times New Roman" w:hAnsi="Times New Roman"/>
                <w:sz w:val="24"/>
                <w:lang w:val="en-GB"/>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0EB78442" w14:textId="77777777" w:rsidR="00E222DA" w:rsidRPr="001F5897" w:rsidRDefault="00E222DA" w:rsidP="00D21CC6">
            <w:pPr>
              <w:pStyle w:val="Mriekatabuk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120"/>
              <w:jc w:val="center"/>
              <w:rPr>
                <w:rFonts w:ascii="Times New Roman" w:hAnsi="Times New Roman"/>
                <w:sz w:val="24"/>
                <w:lang w:val="en-GB"/>
              </w:rPr>
            </w:pPr>
            <w:r w:rsidRPr="001F5897">
              <w:rPr>
                <w:rFonts w:ascii="Times New Roman" w:hAnsi="Times New Roman"/>
                <w:sz w:val="24"/>
                <w:lang w:val="en-GB"/>
              </w:rPr>
              <w:t>9</w:t>
            </w:r>
          </w:p>
        </w:tc>
      </w:tr>
    </w:tbl>
    <w:p w14:paraId="55081EA3"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ab/>
      </w:r>
    </w:p>
    <w:p w14:paraId="338C35E6"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rPr>
          <w:sz w:val="24"/>
        </w:rPr>
        <w:tab/>
        <w:t>From the year 2013 remained in examination 17 requests (7 requests from Slovak police departments and 10 requests from abroad). The police officers of the Property Check-up Department received a total of 109 requests during the evaluated period. The mentioned police officers sent 16 elaborated property profiles to police departments in Slovakia and 72 replies to requests from foreign partners. To the date 31.12.2014 remained in examination total 21 requests (5 requests from Slovak police departments and 16 requests from abroad).</w:t>
      </w:r>
    </w:p>
    <w:p w14:paraId="24FC7480"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040E11F8"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sz w:val="24"/>
        </w:rPr>
      </w:pPr>
      <w:r w:rsidRPr="001F5897">
        <w:t>Chart No. 17: Summary of requests sent from LEA and from foreign authorities to FSJ in the time period from 2011 till 2014</w:t>
      </w:r>
      <w:r w:rsidRPr="001F5897">
        <w:rPr>
          <w:sz w:val="24"/>
        </w:rPr>
        <w:tab/>
      </w:r>
    </w:p>
    <w:tbl>
      <w:tblPr>
        <w:tblW w:w="0" w:type="auto"/>
        <w:tblInd w:w="5" w:type="dxa"/>
        <w:tblLayout w:type="fixed"/>
        <w:tblLook w:val="0000" w:firstRow="0" w:lastRow="0" w:firstColumn="0" w:lastColumn="0" w:noHBand="0" w:noVBand="0"/>
      </w:tblPr>
      <w:tblGrid>
        <w:gridCol w:w="1978"/>
        <w:gridCol w:w="2124"/>
        <w:gridCol w:w="2688"/>
        <w:gridCol w:w="2264"/>
      </w:tblGrid>
      <w:tr w:rsidR="00E222DA" w:rsidRPr="001F5897" w14:paraId="3490E67B" w14:textId="77777777" w:rsidTr="00D21CC6">
        <w:trPr>
          <w:cantSplit/>
          <w:trHeight w:val="1800"/>
        </w:trPr>
        <w:tc>
          <w:tcPr>
            <w:tcW w:w="1978" w:type="dxa"/>
            <w:tcBorders>
              <w:top w:val="single" w:sz="4" w:space="0" w:color="000000"/>
              <w:left w:val="single" w:sz="4" w:space="0" w:color="000000"/>
              <w:bottom w:val="single" w:sz="4" w:space="0" w:color="000000"/>
              <w:right w:val="single" w:sz="4" w:space="0" w:color="000000"/>
            </w:tcBorders>
            <w:shd w:val="clear" w:color="auto" w:fill="FABF8F"/>
            <w:tcMar>
              <w:top w:w="0" w:type="dxa"/>
              <w:left w:w="0" w:type="dxa"/>
              <w:bottom w:w="0" w:type="dxa"/>
              <w:right w:w="0" w:type="dxa"/>
            </w:tcMar>
            <w:vAlign w:val="center"/>
          </w:tcPr>
          <w:p w14:paraId="2AD404CD"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b/>
                <w:sz w:val="24"/>
                <w:lang w:val="en-GB"/>
              </w:rPr>
            </w:pPr>
            <w:r w:rsidRPr="001F5897">
              <w:rPr>
                <w:rFonts w:ascii="Times New Roman" w:hAnsi="Times New Roman"/>
                <w:b/>
                <w:sz w:val="24"/>
                <w:lang w:val="en-GB"/>
              </w:rPr>
              <w:t>Year</w:t>
            </w:r>
          </w:p>
        </w:tc>
        <w:tc>
          <w:tcPr>
            <w:tcW w:w="2124" w:type="dxa"/>
            <w:tcBorders>
              <w:top w:val="single" w:sz="4" w:space="0" w:color="000000"/>
              <w:left w:val="single" w:sz="4" w:space="0" w:color="000000"/>
              <w:bottom w:val="single" w:sz="4" w:space="0" w:color="000000"/>
              <w:right w:val="single" w:sz="4" w:space="0" w:color="000000"/>
            </w:tcBorders>
            <w:shd w:val="clear" w:color="auto" w:fill="FABF8F"/>
            <w:tcMar>
              <w:top w:w="0" w:type="dxa"/>
              <w:left w:w="0" w:type="dxa"/>
              <w:bottom w:w="0" w:type="dxa"/>
              <w:right w:w="0" w:type="dxa"/>
            </w:tcMar>
            <w:vAlign w:val="center"/>
          </w:tcPr>
          <w:p w14:paraId="22C8FEAC"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b/>
                <w:sz w:val="24"/>
                <w:lang w:val="en-GB"/>
              </w:rPr>
            </w:pPr>
            <w:r w:rsidRPr="001F5897">
              <w:rPr>
                <w:rFonts w:ascii="Times New Roman" w:hAnsi="Times New Roman"/>
                <w:b/>
                <w:sz w:val="24"/>
                <w:lang w:val="en-GB"/>
              </w:rPr>
              <w:t>Requests from LEA</w:t>
            </w:r>
          </w:p>
        </w:tc>
        <w:tc>
          <w:tcPr>
            <w:tcW w:w="2688" w:type="dxa"/>
            <w:tcBorders>
              <w:top w:val="single" w:sz="4" w:space="0" w:color="000000"/>
              <w:left w:val="single" w:sz="4" w:space="0" w:color="000000"/>
              <w:bottom w:val="single" w:sz="4" w:space="0" w:color="000000"/>
              <w:right w:val="single" w:sz="4" w:space="0" w:color="000000"/>
            </w:tcBorders>
            <w:shd w:val="clear" w:color="auto" w:fill="FABF8F"/>
            <w:tcMar>
              <w:top w:w="0" w:type="dxa"/>
              <w:left w:w="0" w:type="dxa"/>
              <w:bottom w:w="0" w:type="dxa"/>
              <w:right w:w="0" w:type="dxa"/>
            </w:tcMar>
            <w:vAlign w:val="center"/>
          </w:tcPr>
          <w:p w14:paraId="13DEC9EE"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b/>
                <w:sz w:val="24"/>
                <w:lang w:val="en-GB"/>
              </w:rPr>
            </w:pPr>
            <w:r w:rsidRPr="001F5897">
              <w:rPr>
                <w:rFonts w:ascii="Times New Roman" w:hAnsi="Times New Roman"/>
                <w:b/>
                <w:sz w:val="24"/>
                <w:lang w:val="en-GB"/>
              </w:rPr>
              <w:t>Requests from foreign authorities established for tracing property</w:t>
            </w:r>
          </w:p>
        </w:tc>
        <w:tc>
          <w:tcPr>
            <w:tcW w:w="2264" w:type="dxa"/>
            <w:tcBorders>
              <w:top w:val="single" w:sz="4" w:space="0" w:color="000000"/>
              <w:left w:val="single" w:sz="4" w:space="0" w:color="000000"/>
              <w:bottom w:val="single" w:sz="4" w:space="0" w:color="000000"/>
              <w:right w:val="single" w:sz="4" w:space="0" w:color="000000"/>
            </w:tcBorders>
            <w:shd w:val="clear" w:color="auto" w:fill="FABF8F"/>
            <w:tcMar>
              <w:top w:w="0" w:type="dxa"/>
              <w:left w:w="0" w:type="dxa"/>
              <w:bottom w:w="0" w:type="dxa"/>
              <w:right w:w="0" w:type="dxa"/>
            </w:tcMar>
            <w:vAlign w:val="center"/>
          </w:tcPr>
          <w:p w14:paraId="64F560D6" w14:textId="04C7E167" w:rsidR="00E222DA" w:rsidRPr="001F5897" w:rsidRDefault="00D21CC6"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b/>
                <w:sz w:val="24"/>
                <w:lang w:val="en-GB"/>
              </w:rPr>
            </w:pPr>
            <w:r w:rsidRPr="001F5897">
              <w:rPr>
                <w:rFonts w:ascii="Times New Roman" w:hAnsi="Times New Roman"/>
                <w:b/>
                <w:sz w:val="24"/>
                <w:lang w:val="en-GB"/>
              </w:rPr>
              <w:t>Requests f</w:t>
            </w:r>
            <w:r w:rsidR="00E222DA" w:rsidRPr="001F5897">
              <w:rPr>
                <w:rFonts w:ascii="Times New Roman" w:hAnsi="Times New Roman"/>
                <w:b/>
                <w:sz w:val="24"/>
                <w:lang w:val="en-GB"/>
              </w:rPr>
              <w:t>o</w:t>
            </w:r>
            <w:r w:rsidRPr="001F5897">
              <w:rPr>
                <w:rFonts w:ascii="Times New Roman" w:hAnsi="Times New Roman"/>
                <w:b/>
                <w:sz w:val="24"/>
                <w:lang w:val="en-GB"/>
              </w:rPr>
              <w:t>r</w:t>
            </w:r>
            <w:r w:rsidR="00E222DA" w:rsidRPr="001F5897">
              <w:rPr>
                <w:rFonts w:ascii="Times New Roman" w:hAnsi="Times New Roman"/>
                <w:b/>
                <w:sz w:val="24"/>
                <w:lang w:val="en-GB"/>
              </w:rPr>
              <w:t xml:space="preserve"> legal assistance sent by the General Prosecution of the Slovak Republic</w:t>
            </w:r>
          </w:p>
        </w:tc>
      </w:tr>
      <w:tr w:rsidR="00E222DA" w:rsidRPr="001F5897" w14:paraId="189A8D3B" w14:textId="77777777" w:rsidTr="00D21CC6">
        <w:trPr>
          <w:cantSplit/>
          <w:trHeight w:val="350"/>
        </w:trPr>
        <w:tc>
          <w:tcPr>
            <w:tcW w:w="1978"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35E6D660"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b/>
                <w:sz w:val="24"/>
                <w:lang w:val="en-GB"/>
              </w:rPr>
            </w:pPr>
            <w:r w:rsidRPr="001F5897">
              <w:rPr>
                <w:rFonts w:ascii="Times New Roman" w:hAnsi="Times New Roman"/>
                <w:b/>
                <w:sz w:val="24"/>
                <w:lang w:val="en-GB"/>
              </w:rPr>
              <w:t>2011</w:t>
            </w:r>
          </w:p>
        </w:tc>
        <w:tc>
          <w:tcPr>
            <w:tcW w:w="2124"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73BAE49B"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20</w:t>
            </w:r>
          </w:p>
        </w:tc>
        <w:tc>
          <w:tcPr>
            <w:tcW w:w="2688"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63E1164D"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32</w:t>
            </w:r>
          </w:p>
        </w:tc>
        <w:tc>
          <w:tcPr>
            <w:tcW w:w="2264"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4D217BE3"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1</w:t>
            </w:r>
          </w:p>
        </w:tc>
      </w:tr>
      <w:tr w:rsidR="00E222DA" w:rsidRPr="001F5897" w14:paraId="34D3CB4F" w14:textId="77777777" w:rsidTr="00D21CC6">
        <w:trPr>
          <w:cantSplit/>
          <w:trHeight w:val="350"/>
        </w:trPr>
        <w:tc>
          <w:tcPr>
            <w:tcW w:w="1978"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7C28DB22"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b/>
                <w:sz w:val="24"/>
                <w:lang w:val="en-GB"/>
              </w:rPr>
            </w:pPr>
            <w:r w:rsidRPr="001F5897">
              <w:rPr>
                <w:rFonts w:ascii="Times New Roman" w:hAnsi="Times New Roman"/>
                <w:b/>
                <w:sz w:val="24"/>
                <w:lang w:val="en-GB"/>
              </w:rPr>
              <w:t>2012</w:t>
            </w:r>
          </w:p>
        </w:tc>
        <w:tc>
          <w:tcPr>
            <w:tcW w:w="2124"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466BAB3A"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19</w:t>
            </w:r>
          </w:p>
        </w:tc>
        <w:tc>
          <w:tcPr>
            <w:tcW w:w="2688"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2B949DEC"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21</w:t>
            </w:r>
          </w:p>
        </w:tc>
        <w:tc>
          <w:tcPr>
            <w:tcW w:w="2264"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7F7B3601"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0</w:t>
            </w:r>
          </w:p>
        </w:tc>
      </w:tr>
      <w:tr w:rsidR="00E222DA" w:rsidRPr="001F5897" w14:paraId="2FE5C831" w14:textId="77777777" w:rsidTr="00D21CC6">
        <w:trPr>
          <w:cantSplit/>
          <w:trHeight w:val="350"/>
        </w:trPr>
        <w:tc>
          <w:tcPr>
            <w:tcW w:w="1978"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3C2B74C9"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b/>
                <w:sz w:val="24"/>
                <w:lang w:val="en-GB"/>
              </w:rPr>
            </w:pPr>
            <w:r w:rsidRPr="001F5897">
              <w:rPr>
                <w:rFonts w:ascii="Times New Roman" w:hAnsi="Times New Roman"/>
                <w:b/>
                <w:sz w:val="24"/>
                <w:lang w:val="en-GB"/>
              </w:rPr>
              <w:t>2013</w:t>
            </w:r>
          </w:p>
        </w:tc>
        <w:tc>
          <w:tcPr>
            <w:tcW w:w="2124"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6A2C09C0"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27</w:t>
            </w:r>
          </w:p>
        </w:tc>
        <w:tc>
          <w:tcPr>
            <w:tcW w:w="2688"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367EF693"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48</w:t>
            </w:r>
          </w:p>
        </w:tc>
        <w:tc>
          <w:tcPr>
            <w:tcW w:w="2264"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3FC6277D"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0</w:t>
            </w:r>
          </w:p>
        </w:tc>
      </w:tr>
      <w:tr w:rsidR="00E222DA" w:rsidRPr="001F5897" w14:paraId="5415A456" w14:textId="77777777" w:rsidTr="00D21CC6">
        <w:trPr>
          <w:cantSplit/>
          <w:trHeight w:val="350"/>
        </w:trPr>
        <w:tc>
          <w:tcPr>
            <w:tcW w:w="1978"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1D3DDB37"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b/>
                <w:sz w:val="24"/>
                <w:lang w:val="en-GB"/>
              </w:rPr>
            </w:pPr>
            <w:r w:rsidRPr="001F5897">
              <w:rPr>
                <w:rFonts w:ascii="Times New Roman" w:hAnsi="Times New Roman"/>
                <w:b/>
                <w:sz w:val="24"/>
                <w:lang w:val="en-GB"/>
              </w:rPr>
              <w:t>2014</w:t>
            </w:r>
          </w:p>
        </w:tc>
        <w:tc>
          <w:tcPr>
            <w:tcW w:w="2124"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690F9788"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14</w:t>
            </w:r>
          </w:p>
        </w:tc>
        <w:tc>
          <w:tcPr>
            <w:tcW w:w="2688"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16353259"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78</w:t>
            </w:r>
          </w:p>
        </w:tc>
        <w:tc>
          <w:tcPr>
            <w:tcW w:w="2264" w:type="dxa"/>
            <w:tcBorders>
              <w:top w:val="single" w:sz="4" w:space="0" w:color="000000"/>
              <w:left w:val="single" w:sz="4" w:space="0" w:color="000000"/>
              <w:bottom w:val="single" w:sz="4" w:space="0" w:color="000000"/>
              <w:right w:val="single" w:sz="4" w:space="0" w:color="000000"/>
            </w:tcBorders>
            <w:shd w:val="clear" w:color="auto" w:fill="FDE9D9"/>
            <w:tcMar>
              <w:top w:w="0" w:type="dxa"/>
              <w:left w:w="0" w:type="dxa"/>
              <w:bottom w:w="0" w:type="dxa"/>
              <w:right w:w="0" w:type="dxa"/>
            </w:tcMar>
          </w:tcPr>
          <w:p w14:paraId="11D93011" w14:textId="77777777" w:rsidR="00E222DA" w:rsidRPr="001F5897" w:rsidRDefault="00E222DA" w:rsidP="00D21CC6">
            <w:pPr>
              <w:pStyle w:val="Mriekatabuky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120"/>
              <w:jc w:val="center"/>
              <w:rPr>
                <w:rFonts w:ascii="Times New Roman" w:hAnsi="Times New Roman"/>
                <w:sz w:val="24"/>
                <w:lang w:val="en-GB"/>
              </w:rPr>
            </w:pPr>
            <w:r w:rsidRPr="001F5897">
              <w:rPr>
                <w:rFonts w:ascii="Times New Roman" w:hAnsi="Times New Roman"/>
                <w:sz w:val="24"/>
                <w:lang w:val="en-GB"/>
              </w:rPr>
              <w:t>0</w:t>
            </w:r>
          </w:p>
        </w:tc>
      </w:tr>
    </w:tbl>
    <w:p w14:paraId="5D4E5EDE" w14:textId="77777777" w:rsidR="00E222DA" w:rsidRPr="001F5897" w:rsidRDefault="00E222DA" w:rsidP="00E222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6CD63C15" w14:textId="77777777" w:rsidR="00D21CC6" w:rsidRPr="001F5897" w:rsidRDefault="00D21CC6" w:rsidP="00D21C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eastAsia="ヒラギノ角ゴ Pro W3"/>
          <w:color w:val="000000"/>
          <w:sz w:val="24"/>
          <w:szCs w:val="24"/>
          <w:lang w:eastAsia="en-US"/>
        </w:rPr>
      </w:pPr>
      <w:r w:rsidRPr="001F5897">
        <w:rPr>
          <w:rFonts w:eastAsia="Calibri"/>
          <w:lang w:eastAsia="en-US"/>
        </w:rPr>
        <w:t xml:space="preserve">Chart No.18: Comparison of the total number </w:t>
      </w:r>
      <w:r w:rsidRPr="001F5897">
        <w:rPr>
          <w:rFonts w:eastAsia="ヒラギノ角ゴ Pro W3"/>
          <w:color w:val="000000"/>
          <w:szCs w:val="24"/>
          <w:lang w:eastAsia="en-US"/>
        </w:rPr>
        <w:t>of the handled requests sent from LEA and from foreign authorities to FSJ in the years 2013 - 2014</w:t>
      </w:r>
      <w:r w:rsidRPr="001F5897">
        <w:rPr>
          <w:rFonts w:eastAsia="ヒラギノ角ゴ Pro W3"/>
          <w:color w:val="000000"/>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BBB59" w:themeFill="accent3"/>
        <w:tblLook w:val="04A0" w:firstRow="1" w:lastRow="0" w:firstColumn="1" w:lastColumn="0" w:noHBand="0" w:noVBand="1"/>
      </w:tblPr>
      <w:tblGrid>
        <w:gridCol w:w="4957"/>
        <w:gridCol w:w="1417"/>
        <w:gridCol w:w="1559"/>
        <w:gridCol w:w="1282"/>
      </w:tblGrid>
      <w:tr w:rsidR="00D21CC6" w:rsidRPr="001F5897" w14:paraId="64FEB15B" w14:textId="77777777" w:rsidTr="00D21CC6">
        <w:tc>
          <w:tcPr>
            <w:tcW w:w="4957" w:type="dxa"/>
            <w:shd w:val="clear" w:color="auto" w:fill="9BBB59" w:themeFill="accent3"/>
            <w:vAlign w:val="center"/>
          </w:tcPr>
          <w:p w14:paraId="71CBE876"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Statistical data on number of the requests</w:t>
            </w:r>
          </w:p>
        </w:tc>
        <w:tc>
          <w:tcPr>
            <w:tcW w:w="1417" w:type="dxa"/>
            <w:shd w:val="clear" w:color="auto" w:fill="9BBB59" w:themeFill="accent3"/>
            <w:vAlign w:val="center"/>
          </w:tcPr>
          <w:p w14:paraId="36A1FA38"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2013</w:t>
            </w:r>
          </w:p>
        </w:tc>
        <w:tc>
          <w:tcPr>
            <w:tcW w:w="1559" w:type="dxa"/>
            <w:shd w:val="clear" w:color="auto" w:fill="9BBB59" w:themeFill="accent3"/>
            <w:vAlign w:val="center"/>
          </w:tcPr>
          <w:p w14:paraId="7F08F9DA"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2014</w:t>
            </w:r>
          </w:p>
        </w:tc>
        <w:tc>
          <w:tcPr>
            <w:tcW w:w="1282" w:type="dxa"/>
            <w:shd w:val="clear" w:color="auto" w:fill="9BBB59" w:themeFill="accent3"/>
            <w:vAlign w:val="center"/>
          </w:tcPr>
          <w:p w14:paraId="1666134A"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Difference</w:t>
            </w:r>
          </w:p>
        </w:tc>
      </w:tr>
      <w:tr w:rsidR="00D21CC6" w:rsidRPr="001F5897" w14:paraId="4FEDB72D" w14:textId="77777777" w:rsidTr="00D21CC6">
        <w:tc>
          <w:tcPr>
            <w:tcW w:w="4957" w:type="dxa"/>
            <w:shd w:val="clear" w:color="auto" w:fill="D6E3BC" w:themeFill="accent3" w:themeFillTint="66"/>
          </w:tcPr>
          <w:p w14:paraId="19E6E819" w14:textId="77777777" w:rsidR="00D21CC6" w:rsidRPr="001F5897" w:rsidRDefault="00D21CC6" w:rsidP="00D21CC6">
            <w:pPr>
              <w:spacing w:after="120" w:line="276" w:lineRule="auto"/>
              <w:jc w:val="left"/>
              <w:rPr>
                <w:rFonts w:eastAsia="Calibri"/>
                <w:sz w:val="24"/>
                <w:szCs w:val="24"/>
                <w:lang w:eastAsia="en-US"/>
              </w:rPr>
            </w:pPr>
            <w:r w:rsidRPr="001F5897">
              <w:rPr>
                <w:rFonts w:eastAsia="Calibri"/>
                <w:sz w:val="24"/>
                <w:szCs w:val="24"/>
                <w:lang w:eastAsia="en-US"/>
              </w:rPr>
              <w:t>Number of requests remained in examination from the last year</w:t>
            </w:r>
          </w:p>
        </w:tc>
        <w:tc>
          <w:tcPr>
            <w:tcW w:w="1417" w:type="dxa"/>
            <w:shd w:val="clear" w:color="auto" w:fill="D6E3BC" w:themeFill="accent3" w:themeFillTint="66"/>
          </w:tcPr>
          <w:p w14:paraId="4A62BA1C"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20</w:t>
            </w:r>
          </w:p>
        </w:tc>
        <w:tc>
          <w:tcPr>
            <w:tcW w:w="1559" w:type="dxa"/>
            <w:shd w:val="clear" w:color="auto" w:fill="D6E3BC" w:themeFill="accent3" w:themeFillTint="66"/>
          </w:tcPr>
          <w:p w14:paraId="488A9266"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17</w:t>
            </w:r>
          </w:p>
        </w:tc>
        <w:tc>
          <w:tcPr>
            <w:tcW w:w="1282" w:type="dxa"/>
            <w:shd w:val="clear" w:color="auto" w:fill="D6E3BC" w:themeFill="accent3" w:themeFillTint="66"/>
          </w:tcPr>
          <w:p w14:paraId="071F1ED0"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- 3</w:t>
            </w:r>
          </w:p>
        </w:tc>
      </w:tr>
      <w:tr w:rsidR="00D21CC6" w:rsidRPr="001F5897" w14:paraId="1E145D93" w14:textId="77777777" w:rsidTr="00D21CC6">
        <w:tc>
          <w:tcPr>
            <w:tcW w:w="4957" w:type="dxa"/>
            <w:shd w:val="clear" w:color="auto" w:fill="D6E3BC" w:themeFill="accent3" w:themeFillTint="66"/>
          </w:tcPr>
          <w:p w14:paraId="6D991A3A" w14:textId="77777777" w:rsidR="00D21CC6" w:rsidRPr="001F5897" w:rsidRDefault="00D21CC6" w:rsidP="00D21CC6">
            <w:pPr>
              <w:spacing w:after="120" w:line="276" w:lineRule="auto"/>
              <w:jc w:val="left"/>
              <w:rPr>
                <w:rFonts w:eastAsia="Calibri"/>
                <w:sz w:val="24"/>
                <w:szCs w:val="24"/>
                <w:lang w:eastAsia="en-US"/>
              </w:rPr>
            </w:pPr>
            <w:r w:rsidRPr="001F5897">
              <w:rPr>
                <w:rFonts w:eastAsia="Calibri"/>
                <w:sz w:val="24"/>
                <w:szCs w:val="24"/>
                <w:lang w:eastAsia="en-US"/>
              </w:rPr>
              <w:t>Number of the received request</w:t>
            </w:r>
          </w:p>
        </w:tc>
        <w:tc>
          <w:tcPr>
            <w:tcW w:w="1417" w:type="dxa"/>
            <w:shd w:val="clear" w:color="auto" w:fill="D6E3BC" w:themeFill="accent3" w:themeFillTint="66"/>
          </w:tcPr>
          <w:p w14:paraId="25901DF4"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75</w:t>
            </w:r>
          </w:p>
        </w:tc>
        <w:tc>
          <w:tcPr>
            <w:tcW w:w="1559" w:type="dxa"/>
            <w:shd w:val="clear" w:color="auto" w:fill="D6E3BC" w:themeFill="accent3" w:themeFillTint="66"/>
          </w:tcPr>
          <w:p w14:paraId="24D9EF49"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92</w:t>
            </w:r>
          </w:p>
        </w:tc>
        <w:tc>
          <w:tcPr>
            <w:tcW w:w="1282" w:type="dxa"/>
            <w:shd w:val="clear" w:color="auto" w:fill="D6E3BC" w:themeFill="accent3" w:themeFillTint="66"/>
          </w:tcPr>
          <w:p w14:paraId="57BD8E99"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+ 17</w:t>
            </w:r>
          </w:p>
        </w:tc>
      </w:tr>
      <w:tr w:rsidR="00D21CC6" w:rsidRPr="001F5897" w14:paraId="270647E1" w14:textId="77777777" w:rsidTr="00D21CC6">
        <w:tc>
          <w:tcPr>
            <w:tcW w:w="4957" w:type="dxa"/>
            <w:shd w:val="clear" w:color="auto" w:fill="D6E3BC" w:themeFill="accent3" w:themeFillTint="66"/>
          </w:tcPr>
          <w:p w14:paraId="0E5689A7" w14:textId="77777777" w:rsidR="00D21CC6" w:rsidRPr="001F5897" w:rsidRDefault="00D21CC6" w:rsidP="00D21CC6">
            <w:pPr>
              <w:spacing w:after="120" w:line="276" w:lineRule="auto"/>
              <w:jc w:val="left"/>
              <w:rPr>
                <w:rFonts w:eastAsia="Calibri"/>
                <w:sz w:val="24"/>
                <w:szCs w:val="24"/>
                <w:lang w:eastAsia="en-US"/>
              </w:rPr>
            </w:pPr>
            <w:r w:rsidRPr="001F5897">
              <w:rPr>
                <w:rFonts w:eastAsia="Calibri"/>
                <w:sz w:val="24"/>
                <w:szCs w:val="24"/>
                <w:lang w:eastAsia="en-US"/>
              </w:rPr>
              <w:t xml:space="preserve">Number of the executed requests </w:t>
            </w:r>
          </w:p>
        </w:tc>
        <w:tc>
          <w:tcPr>
            <w:tcW w:w="1417" w:type="dxa"/>
            <w:shd w:val="clear" w:color="auto" w:fill="D6E3BC" w:themeFill="accent3" w:themeFillTint="66"/>
          </w:tcPr>
          <w:p w14:paraId="28EB7674"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80</w:t>
            </w:r>
          </w:p>
        </w:tc>
        <w:tc>
          <w:tcPr>
            <w:tcW w:w="1559" w:type="dxa"/>
            <w:shd w:val="clear" w:color="auto" w:fill="D6E3BC" w:themeFill="accent3" w:themeFillTint="66"/>
          </w:tcPr>
          <w:p w14:paraId="6C2C0F1D"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88</w:t>
            </w:r>
          </w:p>
        </w:tc>
        <w:tc>
          <w:tcPr>
            <w:tcW w:w="1282" w:type="dxa"/>
            <w:shd w:val="clear" w:color="auto" w:fill="D6E3BC" w:themeFill="accent3" w:themeFillTint="66"/>
          </w:tcPr>
          <w:p w14:paraId="714CB69B"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+ 8</w:t>
            </w:r>
          </w:p>
        </w:tc>
      </w:tr>
      <w:tr w:rsidR="00D21CC6" w:rsidRPr="001F5897" w14:paraId="5138EC6C" w14:textId="77777777" w:rsidTr="00D21CC6">
        <w:tc>
          <w:tcPr>
            <w:tcW w:w="4957" w:type="dxa"/>
            <w:shd w:val="clear" w:color="auto" w:fill="D6E3BC" w:themeFill="accent3" w:themeFillTint="66"/>
          </w:tcPr>
          <w:p w14:paraId="3700480C" w14:textId="77777777" w:rsidR="00D21CC6" w:rsidRPr="001F5897" w:rsidRDefault="00D21CC6" w:rsidP="00D21CC6">
            <w:pPr>
              <w:spacing w:after="120" w:line="276" w:lineRule="auto"/>
              <w:jc w:val="left"/>
              <w:rPr>
                <w:rFonts w:eastAsia="Calibri"/>
                <w:sz w:val="24"/>
                <w:szCs w:val="24"/>
                <w:lang w:eastAsia="en-US"/>
              </w:rPr>
            </w:pPr>
            <w:r w:rsidRPr="001F5897">
              <w:rPr>
                <w:rFonts w:eastAsia="Calibri"/>
                <w:sz w:val="24"/>
                <w:szCs w:val="24"/>
                <w:lang w:eastAsia="en-US"/>
              </w:rPr>
              <w:t>Number of requests, which remained in examination to the date 31.12.2014</w:t>
            </w:r>
          </w:p>
        </w:tc>
        <w:tc>
          <w:tcPr>
            <w:tcW w:w="1417" w:type="dxa"/>
            <w:shd w:val="clear" w:color="auto" w:fill="D6E3BC" w:themeFill="accent3" w:themeFillTint="66"/>
          </w:tcPr>
          <w:p w14:paraId="20D8CEE0"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15</w:t>
            </w:r>
          </w:p>
        </w:tc>
        <w:tc>
          <w:tcPr>
            <w:tcW w:w="1559" w:type="dxa"/>
            <w:shd w:val="clear" w:color="auto" w:fill="D6E3BC" w:themeFill="accent3" w:themeFillTint="66"/>
          </w:tcPr>
          <w:p w14:paraId="38852B09"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21</w:t>
            </w:r>
          </w:p>
        </w:tc>
        <w:tc>
          <w:tcPr>
            <w:tcW w:w="1282" w:type="dxa"/>
            <w:shd w:val="clear" w:color="auto" w:fill="D6E3BC" w:themeFill="accent3" w:themeFillTint="66"/>
          </w:tcPr>
          <w:p w14:paraId="67D0D2EE"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+ 6</w:t>
            </w:r>
          </w:p>
        </w:tc>
      </w:tr>
    </w:tbl>
    <w:p w14:paraId="0FD2BDA9" w14:textId="77777777" w:rsidR="00D21CC6" w:rsidRPr="001F5897" w:rsidRDefault="00D21CC6" w:rsidP="00D21CC6">
      <w:pPr>
        <w:spacing w:after="120"/>
        <w:rPr>
          <w:rFonts w:eastAsia="Calibri"/>
          <w:sz w:val="24"/>
          <w:szCs w:val="24"/>
          <w:lang w:eastAsia="en-US"/>
        </w:rPr>
      </w:pPr>
    </w:p>
    <w:p w14:paraId="22C2A861" w14:textId="77777777" w:rsidR="00D21CC6" w:rsidRPr="001F5897" w:rsidRDefault="00D21CC6" w:rsidP="00D21CC6">
      <w:pPr>
        <w:spacing w:after="120"/>
        <w:rPr>
          <w:rFonts w:eastAsia="Calibri"/>
          <w:sz w:val="24"/>
          <w:szCs w:val="24"/>
          <w:lang w:eastAsia="en-US"/>
        </w:rPr>
      </w:pPr>
      <w:r w:rsidRPr="001F5897">
        <w:rPr>
          <w:rFonts w:eastAsia="Calibri"/>
          <w:sz w:val="24"/>
          <w:szCs w:val="24"/>
          <w:lang w:eastAsia="en-US"/>
        </w:rPr>
        <w:tab/>
        <w:t xml:space="preserve">According to the data presented in the Charts No. 15 and No. 17, FSJ carried out the most intense cooperation with the National Anti-Crime Unit and with regard to the international cooperation the most intense was the mutual cooperation with the AROs of Hungary, of the Czech Republic and of Poland. </w:t>
      </w:r>
    </w:p>
    <w:p w14:paraId="20C25C9E" w14:textId="77777777" w:rsidR="00D21CC6" w:rsidRPr="001F5897" w:rsidRDefault="00D21CC6" w:rsidP="00D21CC6">
      <w:pPr>
        <w:pStyle w:val="Nzovkapitoly"/>
        <w:rPr>
          <w:rFonts w:eastAsia="Calibri"/>
          <w:highlight w:val="yellow"/>
          <w:lang w:eastAsia="en-US"/>
        </w:rPr>
      </w:pPr>
    </w:p>
    <w:p w14:paraId="5B67E8E5" w14:textId="1872CA1D" w:rsidR="00D21CC6" w:rsidRPr="001F5897" w:rsidRDefault="00D21CC6" w:rsidP="00D21CC6">
      <w:pPr>
        <w:jc w:val="center"/>
        <w:rPr>
          <w:rFonts w:eastAsia="Calibri"/>
          <w:b/>
          <w:sz w:val="24"/>
          <w:szCs w:val="24"/>
          <w:lang w:eastAsia="en-US"/>
        </w:rPr>
      </w:pPr>
      <w:bookmarkStart w:id="10" w:name="_Toc412466394"/>
      <w:r w:rsidRPr="001F5897">
        <w:rPr>
          <w:rFonts w:eastAsia="Calibri"/>
          <w:b/>
          <w:sz w:val="24"/>
          <w:szCs w:val="24"/>
          <w:lang w:eastAsia="en-US"/>
        </w:rPr>
        <w:t xml:space="preserve">5.2 </w:t>
      </w:r>
      <w:r w:rsidR="003C161E">
        <w:rPr>
          <w:rFonts w:eastAsia="Calibri"/>
          <w:b/>
          <w:sz w:val="24"/>
          <w:szCs w:val="24"/>
          <w:lang w:eastAsia="en-US"/>
        </w:rPr>
        <w:t>Verification of origin of p</w:t>
      </w:r>
      <w:r w:rsidRPr="001F5897">
        <w:rPr>
          <w:rFonts w:eastAsia="Calibri"/>
          <w:b/>
          <w:sz w:val="24"/>
          <w:szCs w:val="24"/>
          <w:lang w:eastAsia="en-US"/>
        </w:rPr>
        <w:t>roperty (property verification)</w:t>
      </w:r>
      <w:bookmarkEnd w:id="10"/>
      <w:r w:rsidRPr="001F5897">
        <w:rPr>
          <w:rFonts w:eastAsia="Calibri"/>
          <w:b/>
          <w:sz w:val="24"/>
          <w:szCs w:val="24"/>
          <w:lang w:eastAsia="en-US"/>
        </w:rPr>
        <w:t xml:space="preserve"> </w:t>
      </w:r>
    </w:p>
    <w:p w14:paraId="3C5E8EAE" w14:textId="77777777" w:rsidR="00D21CC6" w:rsidRPr="001F5897" w:rsidRDefault="00D21CC6" w:rsidP="00D21CC6">
      <w:pPr>
        <w:pStyle w:val="Nzovkapitoly"/>
        <w:rPr>
          <w:rFonts w:eastAsia="Calibri"/>
          <w:lang w:eastAsia="en-US"/>
        </w:rPr>
      </w:pPr>
    </w:p>
    <w:p w14:paraId="12947BDC" w14:textId="77777777" w:rsidR="00D21CC6" w:rsidRPr="001F5897" w:rsidRDefault="00D21CC6" w:rsidP="00D21CC6">
      <w:pPr>
        <w:spacing w:after="120"/>
        <w:rPr>
          <w:rFonts w:eastAsia="Calibri"/>
          <w:sz w:val="24"/>
          <w:szCs w:val="24"/>
          <w:lang w:eastAsia="en-US"/>
        </w:rPr>
      </w:pPr>
      <w:r w:rsidRPr="001F5897">
        <w:rPr>
          <w:rFonts w:eastAsia="Calibri"/>
          <w:sz w:val="24"/>
          <w:szCs w:val="24"/>
          <w:lang w:eastAsia="en-US"/>
        </w:rPr>
        <w:tab/>
        <w:t xml:space="preserve">The fulfilment of the tasks resulted from the Act on Proof of origin of the property is entrusted to the Financial Police, specifically to the organisational units of the National Criminal Agency of the Police Force Presidium, which are FSJ as well as the National Unit of Financial Police. </w:t>
      </w:r>
    </w:p>
    <w:p w14:paraId="656067CF" w14:textId="77777777" w:rsidR="00D21CC6" w:rsidRPr="001F5897" w:rsidRDefault="00D21CC6" w:rsidP="00D21CC6">
      <w:pPr>
        <w:spacing w:after="120"/>
        <w:rPr>
          <w:rFonts w:eastAsia="Calibri"/>
          <w:color w:val="FF0000"/>
          <w:sz w:val="24"/>
          <w:szCs w:val="24"/>
          <w:highlight w:val="yellow"/>
          <w:lang w:eastAsia="en-US"/>
        </w:rPr>
      </w:pPr>
      <w:r w:rsidRPr="001F5897">
        <w:rPr>
          <w:rFonts w:eastAsia="Calibri"/>
          <w:sz w:val="24"/>
          <w:szCs w:val="24"/>
          <w:lang w:eastAsia="en-US"/>
        </w:rPr>
        <w:tab/>
        <w:t xml:space="preserve">An internal regulation defines the position and the obligations of FSJ in relation to the National Unit of Financial Police, pursuant to which FSJ has methodical and coordination scope in relation to the National Unit of Financial Police. </w:t>
      </w:r>
    </w:p>
    <w:p w14:paraId="3E7B5594" w14:textId="77777777" w:rsidR="00D21CC6" w:rsidRPr="001F5897" w:rsidRDefault="00D21CC6" w:rsidP="00D21CC6">
      <w:pPr>
        <w:spacing w:after="120"/>
        <w:rPr>
          <w:rFonts w:eastAsia="Calibri"/>
          <w:sz w:val="24"/>
          <w:szCs w:val="24"/>
          <w:lang w:eastAsia="en-US"/>
        </w:rPr>
      </w:pPr>
      <w:r w:rsidRPr="001F5897">
        <w:rPr>
          <w:rFonts w:eastAsia="Calibri"/>
          <w:sz w:val="24"/>
          <w:szCs w:val="24"/>
          <w:lang w:eastAsia="en-US"/>
        </w:rPr>
        <w:tab/>
        <w:t xml:space="preserve">In 2014 Property Check-up Department executed the property verification in 54 cases. From mentioned 54 cases there were 18 cases examined on the basis of the received notifications and on the own initiative of Property Check-up Department in 2014. The </w:t>
      </w:r>
      <w:r w:rsidRPr="001F5897">
        <w:rPr>
          <w:rFonts w:eastAsia="Calibri"/>
          <w:sz w:val="24"/>
          <w:szCs w:val="24"/>
          <w:lang w:eastAsia="en-US"/>
        </w:rPr>
        <w:lastRenderedPageBreak/>
        <w:t xml:space="preserve">remaining 36 cases related to the property verification remained in examination from 2013 and the examination continued in 2014. </w:t>
      </w:r>
    </w:p>
    <w:p w14:paraId="1C8EDF64" w14:textId="77777777" w:rsidR="00D21CC6" w:rsidRPr="001F5897" w:rsidRDefault="00D21CC6" w:rsidP="00D21CC6">
      <w:pPr>
        <w:spacing w:after="120"/>
        <w:rPr>
          <w:rFonts w:eastAsia="Calibri"/>
          <w:sz w:val="24"/>
          <w:szCs w:val="24"/>
          <w:lang w:eastAsia="en-US"/>
        </w:rPr>
      </w:pPr>
      <w:r w:rsidRPr="001F5897">
        <w:rPr>
          <w:rFonts w:eastAsia="Calibri"/>
          <w:sz w:val="24"/>
          <w:szCs w:val="24"/>
          <w:lang w:eastAsia="en-US"/>
        </w:rPr>
        <w:tab/>
        <w:t xml:space="preserve">From the mentioned 18 cases received in 2014 proceedings were initiated in 6 cases on the basis of the written notification from natural persons, in 4 cases on the basis of written notification from legal persons and in 8 cases on the own initiative of The Property Check-up Department. In 2014 there was no notification received from public authorities. </w:t>
      </w:r>
    </w:p>
    <w:p w14:paraId="301CC3E4" w14:textId="77777777" w:rsidR="00D21CC6" w:rsidRPr="001F5897" w:rsidRDefault="00D21CC6" w:rsidP="00D21CC6">
      <w:pPr>
        <w:spacing w:after="120"/>
        <w:rPr>
          <w:rFonts w:eastAsia="Calibri"/>
          <w:sz w:val="24"/>
          <w:szCs w:val="24"/>
          <w:lang w:eastAsia="en-US"/>
        </w:rPr>
      </w:pPr>
      <w:r w:rsidRPr="001F5897">
        <w:rPr>
          <w:rFonts w:eastAsia="Calibri"/>
          <w:sz w:val="24"/>
          <w:szCs w:val="24"/>
          <w:lang w:eastAsia="en-US"/>
        </w:rPr>
        <w:tab/>
        <w:t xml:space="preserve">Of the mentioned 54 cases there were 26 cases closed in 2014. Of these, 7 initiatives were submitted to the appropriate Prosecutor´s office pursuant to § 6 of Act on Proof of origin of the property in order to initiate proceedings and to declare that the property of an entity was at least 1500 times of the minimum wage higher that the verifiable incomes. Pursuant to the Regulation of the Government of the Slovak Republic No. 321/2013 Coll. there was defined the amount of the minimum wage for 2014, according to which 1500 times of the minimum wage was the sum 528.000,-EUR (for 2015 it constitutes the sum 570.000,- EUR). From 7 submitted initiatives 5 were returned by the prosecutor to supplement. 1 initiative from 2013 was forwarded to the appropriate court in order to initiate the proceedings and to declare that the property of entity was acquired from the illegal incomes. This case has been subsequently withdrawn at the end of 2014. On the date 31.12.2014 2 initiatives remained at the appropriate Prosecutor´s office. </w:t>
      </w:r>
    </w:p>
    <w:p w14:paraId="5A93BD05" w14:textId="77777777" w:rsidR="00D21CC6" w:rsidRPr="001F5897" w:rsidRDefault="00D21CC6" w:rsidP="00D21CC6">
      <w:pPr>
        <w:spacing w:after="120"/>
        <w:rPr>
          <w:rFonts w:eastAsia="Calibri"/>
          <w:sz w:val="24"/>
          <w:szCs w:val="24"/>
          <w:lang w:eastAsia="en-US"/>
        </w:rPr>
      </w:pPr>
      <w:r w:rsidRPr="001F5897">
        <w:rPr>
          <w:rFonts w:eastAsia="Calibri"/>
          <w:sz w:val="24"/>
          <w:szCs w:val="24"/>
          <w:lang w:eastAsia="en-US"/>
        </w:rPr>
        <w:tab/>
        <w:t xml:space="preserve">In 19 cases the evaluated property was less than 1500 times of the minimum wage, i.e. the declared property was not in the amount higher than 1500 times of the minimum wage. From the mentioned number of cases, 1 case was related to the evaluation of property after the repeatedly returned initiative by the Prosecutor´s office and 5 cases were related to the evaluation of property after the returned notification by the Prosecutor´s office due to the fact that the examined person “giving up the possession of the property” within the determined period, or due to the fact that the statements of the examined person and the evidence related to the legal manner of acquisition of property submitted by the examined person were proved. In other 5 closed cases, the notification was non-compliance with the legal requirements of the Act on Proof of origin of property. 28 cases remained in examination, which continued in 2015. </w:t>
      </w:r>
    </w:p>
    <w:p w14:paraId="1716E4AF" w14:textId="77777777" w:rsidR="00D21CC6" w:rsidRPr="001F5897" w:rsidRDefault="00D21CC6" w:rsidP="00D21CC6">
      <w:pPr>
        <w:spacing w:after="120"/>
        <w:rPr>
          <w:rFonts w:eastAsia="Calibri"/>
          <w:lang w:eastAsia="en-US"/>
        </w:rPr>
      </w:pPr>
    </w:p>
    <w:p w14:paraId="4385B566" w14:textId="494A63AD" w:rsidR="00D21CC6" w:rsidRPr="001F5897" w:rsidRDefault="00D21CC6" w:rsidP="00D21CC6">
      <w:pPr>
        <w:spacing w:after="120"/>
        <w:rPr>
          <w:rFonts w:eastAsia="Calibri"/>
          <w:sz w:val="24"/>
          <w:szCs w:val="24"/>
          <w:lang w:eastAsia="en-US"/>
        </w:rPr>
      </w:pPr>
      <w:r w:rsidRPr="001F5897">
        <w:rPr>
          <w:rFonts w:eastAsia="Calibri"/>
          <w:lang w:eastAsia="en-US"/>
        </w:rPr>
        <w:t>Chart No. 19: The proof of origin of property cases in 2014</w:t>
      </w:r>
      <w:r w:rsidRPr="001F5897">
        <w:rPr>
          <w:rFonts w:eastAsia="Calibri"/>
          <w:sz w:val="24"/>
          <w:szCs w:val="24"/>
          <w:lang w:eastAsia="en-US"/>
        </w:rPr>
        <w:tab/>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63"/>
        <w:gridCol w:w="1276"/>
        <w:gridCol w:w="1134"/>
        <w:gridCol w:w="821"/>
        <w:gridCol w:w="1021"/>
        <w:gridCol w:w="1106"/>
        <w:gridCol w:w="992"/>
        <w:gridCol w:w="1276"/>
      </w:tblGrid>
      <w:tr w:rsidR="00D21CC6" w:rsidRPr="001F5897" w14:paraId="4C545C62" w14:textId="77777777" w:rsidTr="00D21CC6">
        <w:trPr>
          <w:trHeight w:val="255"/>
        </w:trPr>
        <w:tc>
          <w:tcPr>
            <w:tcW w:w="10065" w:type="dxa"/>
            <w:gridSpan w:val="9"/>
            <w:shd w:val="clear" w:color="auto" w:fill="CCC0D9" w:themeFill="accent4" w:themeFillTint="66"/>
          </w:tcPr>
          <w:p w14:paraId="6BB2FB02"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Cases of property verification realized in 2014</w:t>
            </w:r>
          </w:p>
        </w:tc>
      </w:tr>
      <w:tr w:rsidR="00D21CC6" w:rsidRPr="001F5897" w14:paraId="2C2D70BB" w14:textId="77777777" w:rsidTr="00D21CC6">
        <w:trPr>
          <w:cantSplit/>
          <w:trHeight w:hRule="exact" w:val="1478"/>
        </w:trPr>
        <w:tc>
          <w:tcPr>
            <w:tcW w:w="1276" w:type="dxa"/>
            <w:shd w:val="clear" w:color="auto" w:fill="E5DFEC" w:themeFill="accent4" w:themeFillTint="33"/>
          </w:tcPr>
          <w:p w14:paraId="5B690194" w14:textId="77777777" w:rsidR="00D21CC6" w:rsidRPr="001F5897" w:rsidRDefault="00D21CC6" w:rsidP="00D21CC6">
            <w:pPr>
              <w:spacing w:after="120" w:line="276" w:lineRule="auto"/>
              <w:rPr>
                <w:rFonts w:eastAsia="Calibri"/>
                <w:sz w:val="18"/>
                <w:szCs w:val="18"/>
                <w:lang w:eastAsia="en-US"/>
              </w:rPr>
            </w:pPr>
            <w:r w:rsidRPr="001F5897">
              <w:rPr>
                <w:rFonts w:eastAsia="Calibri"/>
                <w:sz w:val="18"/>
                <w:szCs w:val="18"/>
                <w:lang w:eastAsia="en-US"/>
              </w:rPr>
              <w:t>Remained in examination from 2013</w:t>
            </w:r>
          </w:p>
        </w:tc>
        <w:tc>
          <w:tcPr>
            <w:tcW w:w="4394" w:type="dxa"/>
            <w:gridSpan w:val="4"/>
            <w:shd w:val="clear" w:color="auto" w:fill="E5DFEC" w:themeFill="accent4" w:themeFillTint="33"/>
            <w:vAlign w:val="center"/>
          </w:tcPr>
          <w:p w14:paraId="666E6CC5"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Number of files received in 2014</w:t>
            </w:r>
          </w:p>
        </w:tc>
        <w:tc>
          <w:tcPr>
            <w:tcW w:w="3119" w:type="dxa"/>
            <w:gridSpan w:val="3"/>
            <w:shd w:val="clear" w:color="auto" w:fill="E5DFEC" w:themeFill="accent4" w:themeFillTint="33"/>
            <w:vAlign w:val="center"/>
          </w:tcPr>
          <w:p w14:paraId="354FB1E3"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Number of files closed in 2014</w:t>
            </w:r>
          </w:p>
        </w:tc>
        <w:tc>
          <w:tcPr>
            <w:tcW w:w="1276" w:type="dxa"/>
            <w:shd w:val="clear" w:color="auto" w:fill="E5DFEC" w:themeFill="accent4" w:themeFillTint="33"/>
          </w:tcPr>
          <w:p w14:paraId="4D680FA8" w14:textId="77777777" w:rsidR="00D21CC6" w:rsidRPr="001F5897" w:rsidRDefault="00D21CC6" w:rsidP="00D21CC6">
            <w:pPr>
              <w:spacing w:after="120" w:line="276" w:lineRule="auto"/>
              <w:rPr>
                <w:rFonts w:eastAsia="Calibri"/>
                <w:sz w:val="18"/>
                <w:szCs w:val="18"/>
                <w:lang w:eastAsia="en-US"/>
              </w:rPr>
            </w:pPr>
            <w:r w:rsidRPr="001F5897">
              <w:rPr>
                <w:rFonts w:eastAsia="Calibri"/>
                <w:sz w:val="18"/>
                <w:szCs w:val="18"/>
                <w:lang w:eastAsia="en-US"/>
              </w:rPr>
              <w:t xml:space="preserve">Examination continued in 2015  </w:t>
            </w:r>
          </w:p>
        </w:tc>
      </w:tr>
      <w:tr w:rsidR="00D21CC6" w:rsidRPr="001F5897" w14:paraId="3CE8898D" w14:textId="77777777" w:rsidTr="00D21CC6">
        <w:trPr>
          <w:cantSplit/>
          <w:trHeight w:hRule="exact" w:val="1117"/>
        </w:trPr>
        <w:tc>
          <w:tcPr>
            <w:tcW w:w="1276" w:type="dxa"/>
            <w:vMerge w:val="restart"/>
            <w:shd w:val="clear" w:color="auto" w:fill="E5DFEC" w:themeFill="accent4" w:themeFillTint="33"/>
            <w:vAlign w:val="center"/>
          </w:tcPr>
          <w:p w14:paraId="664A8176" w14:textId="77777777" w:rsidR="00D21CC6" w:rsidRPr="001F5897" w:rsidRDefault="00D21CC6" w:rsidP="00D21CC6">
            <w:pPr>
              <w:spacing w:after="120" w:line="276" w:lineRule="auto"/>
              <w:rPr>
                <w:rFonts w:eastAsia="Calibri"/>
                <w:sz w:val="24"/>
                <w:szCs w:val="24"/>
                <w:lang w:eastAsia="en-US"/>
              </w:rPr>
            </w:pPr>
            <w:r w:rsidRPr="001F5897">
              <w:rPr>
                <w:rFonts w:eastAsia="Calibri"/>
                <w:sz w:val="24"/>
                <w:szCs w:val="24"/>
                <w:lang w:eastAsia="en-US"/>
              </w:rPr>
              <w:t>36</w:t>
            </w:r>
          </w:p>
        </w:tc>
        <w:tc>
          <w:tcPr>
            <w:tcW w:w="1163" w:type="dxa"/>
            <w:shd w:val="clear" w:color="auto" w:fill="E5DFEC" w:themeFill="accent4" w:themeFillTint="33"/>
          </w:tcPr>
          <w:p w14:paraId="5355694D" w14:textId="77777777" w:rsidR="00D21CC6" w:rsidRPr="001F5897" w:rsidRDefault="00D21CC6" w:rsidP="00D21CC6">
            <w:pPr>
              <w:spacing w:after="120" w:line="276" w:lineRule="auto"/>
              <w:jc w:val="center"/>
              <w:rPr>
                <w:rFonts w:eastAsia="Calibri"/>
                <w:sz w:val="16"/>
                <w:szCs w:val="16"/>
                <w:lang w:eastAsia="en-US"/>
              </w:rPr>
            </w:pPr>
            <w:r w:rsidRPr="001F5897">
              <w:rPr>
                <w:rFonts w:eastAsia="Calibri"/>
                <w:sz w:val="16"/>
                <w:szCs w:val="16"/>
                <w:lang w:eastAsia="en-US"/>
              </w:rPr>
              <w:t>Notifications from Slovak citizens</w:t>
            </w:r>
          </w:p>
        </w:tc>
        <w:tc>
          <w:tcPr>
            <w:tcW w:w="1276" w:type="dxa"/>
            <w:shd w:val="clear" w:color="auto" w:fill="E5DFEC" w:themeFill="accent4" w:themeFillTint="33"/>
          </w:tcPr>
          <w:p w14:paraId="0EB59C39" w14:textId="77777777" w:rsidR="00D21CC6" w:rsidRPr="001F5897" w:rsidRDefault="00D21CC6" w:rsidP="00D21CC6">
            <w:pPr>
              <w:spacing w:after="120" w:line="276" w:lineRule="auto"/>
              <w:jc w:val="center"/>
              <w:rPr>
                <w:rFonts w:eastAsia="Calibri"/>
                <w:sz w:val="16"/>
                <w:szCs w:val="16"/>
                <w:lang w:eastAsia="en-US"/>
              </w:rPr>
            </w:pPr>
            <w:r w:rsidRPr="001F5897">
              <w:rPr>
                <w:rFonts w:eastAsia="Calibri"/>
                <w:sz w:val="16"/>
                <w:szCs w:val="16"/>
                <w:lang w:eastAsia="en-US"/>
              </w:rPr>
              <w:t>Notifications from legal entities</w:t>
            </w:r>
          </w:p>
        </w:tc>
        <w:tc>
          <w:tcPr>
            <w:tcW w:w="1134" w:type="dxa"/>
            <w:shd w:val="clear" w:color="auto" w:fill="E5DFEC" w:themeFill="accent4" w:themeFillTint="33"/>
          </w:tcPr>
          <w:p w14:paraId="6836E3BD" w14:textId="77777777" w:rsidR="00D21CC6" w:rsidRPr="001F5897" w:rsidRDefault="00D21CC6" w:rsidP="00D21CC6">
            <w:pPr>
              <w:spacing w:after="120" w:line="276" w:lineRule="auto"/>
              <w:jc w:val="center"/>
              <w:rPr>
                <w:rFonts w:eastAsia="Calibri"/>
                <w:sz w:val="16"/>
                <w:szCs w:val="16"/>
                <w:lang w:eastAsia="en-US"/>
              </w:rPr>
            </w:pPr>
            <w:r w:rsidRPr="001F5897">
              <w:rPr>
                <w:rFonts w:eastAsia="Calibri"/>
                <w:sz w:val="16"/>
                <w:szCs w:val="16"/>
                <w:lang w:eastAsia="en-US"/>
              </w:rPr>
              <w:t>Notifications from public authorities</w:t>
            </w:r>
          </w:p>
        </w:tc>
        <w:tc>
          <w:tcPr>
            <w:tcW w:w="821" w:type="dxa"/>
            <w:shd w:val="clear" w:color="auto" w:fill="E5DFEC" w:themeFill="accent4" w:themeFillTint="33"/>
          </w:tcPr>
          <w:p w14:paraId="1CCBA9DF" w14:textId="77777777" w:rsidR="00D21CC6" w:rsidRPr="001F5897" w:rsidRDefault="00D21CC6" w:rsidP="00D21CC6">
            <w:pPr>
              <w:spacing w:after="120" w:line="276" w:lineRule="auto"/>
              <w:jc w:val="center"/>
              <w:rPr>
                <w:rFonts w:eastAsia="Calibri"/>
                <w:sz w:val="16"/>
                <w:szCs w:val="16"/>
                <w:lang w:eastAsia="en-US"/>
              </w:rPr>
            </w:pPr>
            <w:r w:rsidRPr="001F5897">
              <w:rPr>
                <w:rFonts w:eastAsia="Calibri"/>
                <w:sz w:val="16"/>
                <w:szCs w:val="16"/>
                <w:lang w:eastAsia="en-US"/>
              </w:rPr>
              <w:t>Own initiative</w:t>
            </w:r>
          </w:p>
        </w:tc>
        <w:tc>
          <w:tcPr>
            <w:tcW w:w="1021" w:type="dxa"/>
            <w:shd w:val="clear" w:color="auto" w:fill="E5DFEC" w:themeFill="accent4" w:themeFillTint="33"/>
          </w:tcPr>
          <w:p w14:paraId="4C408C2E" w14:textId="77777777" w:rsidR="00D21CC6" w:rsidRPr="001F5897" w:rsidRDefault="00D21CC6" w:rsidP="00D21CC6">
            <w:pPr>
              <w:spacing w:after="120" w:line="276" w:lineRule="auto"/>
              <w:jc w:val="center"/>
              <w:rPr>
                <w:rFonts w:eastAsia="Calibri"/>
                <w:sz w:val="16"/>
                <w:szCs w:val="16"/>
                <w:lang w:eastAsia="en-US"/>
              </w:rPr>
            </w:pPr>
            <w:r w:rsidRPr="001F5897">
              <w:rPr>
                <w:rFonts w:eastAsia="Calibri"/>
                <w:sz w:val="16"/>
                <w:szCs w:val="16"/>
                <w:lang w:eastAsia="en-US"/>
              </w:rPr>
              <w:t>Initiative proposed to the Prosecutor´s office</w:t>
            </w:r>
          </w:p>
        </w:tc>
        <w:tc>
          <w:tcPr>
            <w:tcW w:w="1106" w:type="dxa"/>
            <w:shd w:val="clear" w:color="auto" w:fill="E5DFEC" w:themeFill="accent4" w:themeFillTint="33"/>
          </w:tcPr>
          <w:p w14:paraId="634E9514" w14:textId="77777777" w:rsidR="00D21CC6" w:rsidRPr="001F5897" w:rsidRDefault="00D21CC6" w:rsidP="00D21CC6">
            <w:pPr>
              <w:spacing w:after="120" w:line="276" w:lineRule="auto"/>
              <w:jc w:val="center"/>
              <w:rPr>
                <w:rFonts w:eastAsia="Calibri"/>
                <w:sz w:val="16"/>
                <w:szCs w:val="16"/>
                <w:lang w:eastAsia="en-US"/>
              </w:rPr>
            </w:pPr>
            <w:r w:rsidRPr="001F5897">
              <w:rPr>
                <w:rFonts w:eastAsia="Calibri"/>
                <w:sz w:val="16"/>
                <w:szCs w:val="16"/>
                <w:lang w:eastAsia="en-US"/>
              </w:rPr>
              <w:t>Non-compliance with legal requirements</w:t>
            </w:r>
          </w:p>
        </w:tc>
        <w:tc>
          <w:tcPr>
            <w:tcW w:w="992" w:type="dxa"/>
            <w:shd w:val="clear" w:color="auto" w:fill="E5DFEC" w:themeFill="accent4" w:themeFillTint="33"/>
          </w:tcPr>
          <w:p w14:paraId="58BA0E56" w14:textId="77777777" w:rsidR="00D21CC6" w:rsidRPr="001F5897" w:rsidRDefault="00D21CC6" w:rsidP="00D21CC6">
            <w:pPr>
              <w:spacing w:after="120" w:line="276" w:lineRule="auto"/>
              <w:jc w:val="center"/>
              <w:rPr>
                <w:rFonts w:eastAsia="Calibri"/>
                <w:sz w:val="16"/>
                <w:szCs w:val="16"/>
                <w:lang w:eastAsia="en-US"/>
              </w:rPr>
            </w:pPr>
            <w:r w:rsidRPr="001F5897">
              <w:rPr>
                <w:rFonts w:eastAsia="Calibri"/>
                <w:sz w:val="16"/>
                <w:szCs w:val="16"/>
                <w:lang w:eastAsia="en-US"/>
              </w:rPr>
              <w:t>In accordance with the law</w:t>
            </w:r>
          </w:p>
        </w:tc>
        <w:tc>
          <w:tcPr>
            <w:tcW w:w="1276" w:type="dxa"/>
            <w:vMerge w:val="restart"/>
            <w:shd w:val="clear" w:color="auto" w:fill="E5DFEC" w:themeFill="accent4" w:themeFillTint="33"/>
            <w:vAlign w:val="center"/>
          </w:tcPr>
          <w:p w14:paraId="74C4CC8F"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28</w:t>
            </w:r>
          </w:p>
        </w:tc>
      </w:tr>
      <w:tr w:rsidR="00D21CC6" w:rsidRPr="001F5897" w14:paraId="658FFE42" w14:textId="77777777" w:rsidTr="00D21CC6">
        <w:trPr>
          <w:cantSplit/>
          <w:trHeight w:hRule="exact" w:val="936"/>
        </w:trPr>
        <w:tc>
          <w:tcPr>
            <w:tcW w:w="1276" w:type="dxa"/>
            <w:vMerge/>
            <w:shd w:val="clear" w:color="auto" w:fill="E5DFEC" w:themeFill="accent4" w:themeFillTint="33"/>
          </w:tcPr>
          <w:p w14:paraId="3FF1CCF3" w14:textId="77777777" w:rsidR="00D21CC6" w:rsidRPr="001F5897" w:rsidRDefault="00D21CC6" w:rsidP="00D21CC6">
            <w:pPr>
              <w:spacing w:after="120" w:line="276" w:lineRule="auto"/>
              <w:rPr>
                <w:rFonts w:eastAsia="Calibri"/>
                <w:sz w:val="24"/>
                <w:szCs w:val="24"/>
                <w:highlight w:val="yellow"/>
                <w:lang w:eastAsia="en-US"/>
              </w:rPr>
            </w:pPr>
          </w:p>
        </w:tc>
        <w:tc>
          <w:tcPr>
            <w:tcW w:w="1163" w:type="dxa"/>
            <w:shd w:val="clear" w:color="auto" w:fill="E5DFEC" w:themeFill="accent4" w:themeFillTint="33"/>
          </w:tcPr>
          <w:p w14:paraId="3A50613E"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6</w:t>
            </w:r>
          </w:p>
        </w:tc>
        <w:tc>
          <w:tcPr>
            <w:tcW w:w="1276" w:type="dxa"/>
            <w:shd w:val="clear" w:color="auto" w:fill="E5DFEC" w:themeFill="accent4" w:themeFillTint="33"/>
          </w:tcPr>
          <w:p w14:paraId="38AF4EA2"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4</w:t>
            </w:r>
          </w:p>
        </w:tc>
        <w:tc>
          <w:tcPr>
            <w:tcW w:w="1134" w:type="dxa"/>
            <w:shd w:val="clear" w:color="auto" w:fill="E5DFEC" w:themeFill="accent4" w:themeFillTint="33"/>
          </w:tcPr>
          <w:p w14:paraId="38685ECA"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0</w:t>
            </w:r>
          </w:p>
        </w:tc>
        <w:tc>
          <w:tcPr>
            <w:tcW w:w="821" w:type="dxa"/>
            <w:shd w:val="clear" w:color="auto" w:fill="E5DFEC" w:themeFill="accent4" w:themeFillTint="33"/>
          </w:tcPr>
          <w:p w14:paraId="17093F3B"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8</w:t>
            </w:r>
          </w:p>
        </w:tc>
        <w:tc>
          <w:tcPr>
            <w:tcW w:w="1021" w:type="dxa"/>
            <w:shd w:val="clear" w:color="auto" w:fill="E5DFEC" w:themeFill="accent4" w:themeFillTint="33"/>
          </w:tcPr>
          <w:p w14:paraId="58CB77B9"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2</w:t>
            </w:r>
          </w:p>
        </w:tc>
        <w:tc>
          <w:tcPr>
            <w:tcW w:w="1106" w:type="dxa"/>
            <w:shd w:val="clear" w:color="auto" w:fill="E5DFEC" w:themeFill="accent4" w:themeFillTint="33"/>
          </w:tcPr>
          <w:p w14:paraId="10BCE461"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5</w:t>
            </w:r>
          </w:p>
        </w:tc>
        <w:tc>
          <w:tcPr>
            <w:tcW w:w="992" w:type="dxa"/>
            <w:shd w:val="clear" w:color="auto" w:fill="E5DFEC" w:themeFill="accent4" w:themeFillTint="33"/>
          </w:tcPr>
          <w:p w14:paraId="39920D7E" w14:textId="77777777" w:rsidR="00D21CC6" w:rsidRPr="001F5897" w:rsidRDefault="00D21CC6" w:rsidP="00D21CC6">
            <w:pPr>
              <w:spacing w:after="120" w:line="276" w:lineRule="auto"/>
              <w:jc w:val="center"/>
              <w:rPr>
                <w:rFonts w:eastAsia="Calibri"/>
                <w:sz w:val="24"/>
                <w:szCs w:val="24"/>
                <w:lang w:eastAsia="en-US"/>
              </w:rPr>
            </w:pPr>
            <w:r w:rsidRPr="001F5897">
              <w:rPr>
                <w:rFonts w:eastAsia="Calibri"/>
                <w:sz w:val="24"/>
                <w:szCs w:val="24"/>
                <w:lang w:eastAsia="en-US"/>
              </w:rPr>
              <w:t>19</w:t>
            </w:r>
          </w:p>
        </w:tc>
        <w:tc>
          <w:tcPr>
            <w:tcW w:w="1276" w:type="dxa"/>
            <w:vMerge/>
            <w:shd w:val="clear" w:color="auto" w:fill="E5DFEC" w:themeFill="accent4" w:themeFillTint="33"/>
          </w:tcPr>
          <w:p w14:paraId="331C73B7" w14:textId="77777777" w:rsidR="00D21CC6" w:rsidRPr="001F5897" w:rsidRDefault="00D21CC6" w:rsidP="00D21CC6">
            <w:pPr>
              <w:spacing w:after="120" w:line="276" w:lineRule="auto"/>
              <w:jc w:val="center"/>
              <w:rPr>
                <w:rFonts w:eastAsia="Calibri"/>
                <w:sz w:val="24"/>
                <w:szCs w:val="24"/>
                <w:highlight w:val="yellow"/>
                <w:lang w:eastAsia="en-US"/>
              </w:rPr>
            </w:pPr>
          </w:p>
        </w:tc>
      </w:tr>
    </w:tbl>
    <w:p w14:paraId="45DEB97E" w14:textId="77777777" w:rsidR="00D21CC6" w:rsidRPr="001F5897" w:rsidRDefault="00D21CC6" w:rsidP="00D21CC6">
      <w:pPr>
        <w:jc w:val="center"/>
        <w:rPr>
          <w:b/>
          <w:sz w:val="28"/>
          <w:szCs w:val="28"/>
        </w:rPr>
      </w:pPr>
      <w:bookmarkStart w:id="11" w:name="_Toc382129841"/>
      <w:bookmarkStart w:id="12" w:name="_Toc382130003"/>
      <w:bookmarkStart w:id="13" w:name="_Toc382130534"/>
      <w:bookmarkStart w:id="14" w:name="_Toc382141493"/>
      <w:bookmarkStart w:id="15" w:name="_Toc382141690"/>
      <w:bookmarkStart w:id="16" w:name="_Toc412466395"/>
    </w:p>
    <w:p w14:paraId="644FDEB8" w14:textId="77777777" w:rsidR="00D21CC6" w:rsidRPr="001F5897" w:rsidRDefault="00D21CC6" w:rsidP="00D21CC6">
      <w:pPr>
        <w:jc w:val="center"/>
        <w:rPr>
          <w:b/>
          <w:sz w:val="28"/>
          <w:szCs w:val="28"/>
        </w:rPr>
      </w:pPr>
    </w:p>
    <w:p w14:paraId="18109573" w14:textId="77777777" w:rsidR="00D21CC6" w:rsidRPr="001F5897" w:rsidRDefault="00D21CC6" w:rsidP="00D21CC6">
      <w:pPr>
        <w:jc w:val="center"/>
        <w:rPr>
          <w:b/>
          <w:sz w:val="28"/>
          <w:szCs w:val="28"/>
        </w:rPr>
      </w:pPr>
      <w:r w:rsidRPr="001F5897">
        <w:rPr>
          <w:b/>
          <w:sz w:val="28"/>
          <w:szCs w:val="28"/>
        </w:rPr>
        <w:lastRenderedPageBreak/>
        <w:t>6. Analytical activity</w:t>
      </w:r>
      <w:bookmarkEnd w:id="11"/>
      <w:bookmarkEnd w:id="12"/>
      <w:bookmarkEnd w:id="13"/>
      <w:bookmarkEnd w:id="14"/>
      <w:bookmarkEnd w:id="15"/>
      <w:bookmarkEnd w:id="16"/>
    </w:p>
    <w:p w14:paraId="34F1F9BA" w14:textId="77777777" w:rsidR="00D21CC6" w:rsidRPr="001F5897" w:rsidRDefault="00D21CC6" w:rsidP="00D21CC6">
      <w:pPr>
        <w:rPr>
          <w:sz w:val="24"/>
          <w:szCs w:val="24"/>
        </w:rPr>
      </w:pPr>
    </w:p>
    <w:p w14:paraId="42061635" w14:textId="77777777" w:rsidR="00D21CC6" w:rsidRPr="001F5897" w:rsidRDefault="00D21CC6" w:rsidP="00D21CC6">
      <w:pPr>
        <w:spacing w:after="120"/>
        <w:ind w:firstLineChars="295" w:firstLine="708"/>
        <w:rPr>
          <w:sz w:val="24"/>
          <w:szCs w:val="24"/>
        </w:rPr>
      </w:pPr>
      <w:r w:rsidRPr="001F5897">
        <w:rPr>
          <w:sz w:val="24"/>
          <w:szCs w:val="24"/>
        </w:rPr>
        <w:t>The fulfilment of the obligations of FSJ in accordance with § 27 of AML/CFT Law, especially to keep summary of statistical data covering the number of the received unusual transaction reports, the particular ways of processing of the unusual transaction reports and their number including the number of cases, which were submitted to the law enforcement authorities or tax administrators within a calendar year, the number of the prosecuted persons, the number of the persons convicted of the crime legalization of proceeds from criminal activity, the value of the seized property, confiscated property or forfeited property, is realized by the Analytical Department</w:t>
      </w:r>
    </w:p>
    <w:p w14:paraId="7E8ECD96" w14:textId="77777777" w:rsidR="00D21CC6" w:rsidRPr="001F5897" w:rsidRDefault="00D21CC6" w:rsidP="00D21CC6">
      <w:pPr>
        <w:spacing w:after="120"/>
        <w:ind w:firstLineChars="295" w:firstLine="708"/>
        <w:rPr>
          <w:sz w:val="24"/>
          <w:szCs w:val="24"/>
        </w:rPr>
      </w:pPr>
      <w:r w:rsidRPr="001F5897">
        <w:rPr>
          <w:sz w:val="24"/>
          <w:szCs w:val="24"/>
        </w:rPr>
        <w:t>The regular activities of the Analytical Department include providing the written summary of information to the obliged entities about the effectiveness of the provided unusual transactions reports in order to inform the obliged entities about the provided unusual transaction reports and about the further utilization of these reports.</w:t>
      </w:r>
    </w:p>
    <w:p w14:paraId="4771E7A2" w14:textId="77777777" w:rsidR="00D21CC6" w:rsidRPr="001F5897" w:rsidRDefault="00D21CC6" w:rsidP="00D21CC6">
      <w:pPr>
        <w:spacing w:after="120"/>
        <w:ind w:firstLineChars="295" w:firstLine="708"/>
        <w:rPr>
          <w:sz w:val="24"/>
          <w:szCs w:val="24"/>
        </w:rPr>
      </w:pPr>
      <w:r w:rsidRPr="001F5897">
        <w:rPr>
          <w:sz w:val="24"/>
          <w:szCs w:val="24"/>
        </w:rPr>
        <w:t>To the additional tasks of the Analytical Department belong the proposition of modifications and changes of the relevant legislation and related internal regulations, collection of the materials necessary for evaluation of the statement to the generally binding legal regulations and related internal regulations which were submitted to commenting process, record keeping and monitoring of the fulfilment and evaluation of the tasks, which for FSJ resulted from resolutions of the Government of the Slovak Republic, from the annual plan of the Police Force Presidium, as well as from other planning documents. On the basis of the initiatives from other departments of FSJ, the Analytical Department disclosed the information on the forms and methods of legalization of proceeds from criminal activity and terrorist financing and on the methods of recognition of unusual transaction.</w:t>
      </w:r>
    </w:p>
    <w:p w14:paraId="77CFFA27" w14:textId="77777777" w:rsidR="00D21CC6" w:rsidRPr="001F5897" w:rsidRDefault="00D21CC6" w:rsidP="00D21CC6">
      <w:pPr>
        <w:spacing w:after="120"/>
        <w:ind w:firstLineChars="295" w:firstLine="708"/>
        <w:rPr>
          <w:sz w:val="24"/>
          <w:szCs w:val="24"/>
        </w:rPr>
      </w:pPr>
      <w:r w:rsidRPr="001F5897">
        <w:rPr>
          <w:sz w:val="24"/>
          <w:szCs w:val="24"/>
        </w:rPr>
        <w:t xml:space="preserve">To the most important and most exacting tasks fulfilled by the Analytical Department belongs the everyday maintenance of the complex Information System of FSJ, which has to be continuously fully operational. </w:t>
      </w:r>
    </w:p>
    <w:p w14:paraId="00BCB53D" w14:textId="77777777" w:rsidR="00D21CC6" w:rsidRPr="001F5897" w:rsidRDefault="00D21CC6" w:rsidP="00D21CC6">
      <w:pPr>
        <w:spacing w:after="120"/>
        <w:ind w:firstLineChars="295" w:firstLine="708"/>
        <w:rPr>
          <w:sz w:val="24"/>
          <w:szCs w:val="24"/>
        </w:rPr>
      </w:pPr>
      <w:r w:rsidRPr="001F5897">
        <w:rPr>
          <w:sz w:val="24"/>
          <w:szCs w:val="24"/>
        </w:rPr>
        <w:t xml:space="preserve">The Analytical Department has the exclusive competence for receiving, processing, analysing and evaluating the fulfilment of the reporting obligation in accordance with Section 4 (4) of the Customs Act. </w:t>
      </w:r>
    </w:p>
    <w:p w14:paraId="62819D6E" w14:textId="77777777" w:rsidR="00D21CC6" w:rsidRPr="001F5897" w:rsidRDefault="00D21CC6" w:rsidP="00D21CC6">
      <w:pPr>
        <w:pStyle w:val="Nzovkapitoly"/>
        <w:rPr>
          <w:sz w:val="24"/>
          <w:szCs w:val="24"/>
          <w:highlight w:val="yellow"/>
        </w:rPr>
      </w:pPr>
    </w:p>
    <w:p w14:paraId="21816E9D" w14:textId="0B703703" w:rsidR="00D21CC6" w:rsidRPr="001F5897" w:rsidRDefault="00D21CC6" w:rsidP="00D21CC6">
      <w:pPr>
        <w:spacing w:after="120"/>
        <w:jc w:val="center"/>
        <w:rPr>
          <w:rFonts w:eastAsia="Calibri"/>
          <w:b/>
          <w:sz w:val="24"/>
          <w:szCs w:val="24"/>
          <w:lang w:eastAsia="en-US"/>
        </w:rPr>
      </w:pPr>
      <w:bookmarkStart w:id="17" w:name="_Toc382129842"/>
      <w:bookmarkStart w:id="18" w:name="_Toc382130004"/>
      <w:bookmarkStart w:id="19" w:name="_Toc382130535"/>
      <w:bookmarkStart w:id="20" w:name="_Toc382141494"/>
      <w:bookmarkStart w:id="21" w:name="_Toc382141691"/>
      <w:bookmarkStart w:id="22" w:name="_Toc412466396"/>
      <w:r w:rsidRPr="001F5897">
        <w:rPr>
          <w:rFonts w:eastAsia="Calibri"/>
          <w:b/>
          <w:sz w:val="24"/>
          <w:szCs w:val="24"/>
          <w:lang w:eastAsia="en-US"/>
        </w:rPr>
        <w:t xml:space="preserve">6.1 </w:t>
      </w:r>
      <w:r w:rsidR="003C161E">
        <w:rPr>
          <w:rFonts w:eastAsia="Calibri"/>
          <w:b/>
          <w:sz w:val="24"/>
          <w:szCs w:val="24"/>
          <w:lang w:eastAsia="en-US"/>
        </w:rPr>
        <w:t>Transportation of funds in cash</w:t>
      </w:r>
      <w:r w:rsidRPr="001F5897">
        <w:rPr>
          <w:rFonts w:eastAsia="Calibri"/>
          <w:b/>
          <w:sz w:val="24"/>
          <w:szCs w:val="24"/>
          <w:lang w:eastAsia="en-US"/>
        </w:rPr>
        <w:t xml:space="preserve"> (Cross-border reporting)</w:t>
      </w:r>
      <w:bookmarkEnd w:id="17"/>
      <w:bookmarkEnd w:id="18"/>
      <w:bookmarkEnd w:id="19"/>
      <w:bookmarkEnd w:id="20"/>
      <w:bookmarkEnd w:id="21"/>
      <w:bookmarkEnd w:id="22"/>
    </w:p>
    <w:p w14:paraId="7D7D4051" w14:textId="77777777" w:rsidR="00D21CC6" w:rsidRPr="001F5897" w:rsidRDefault="00D21CC6" w:rsidP="00D21CC6">
      <w:pPr>
        <w:rPr>
          <w:lang w:eastAsia="en-US"/>
        </w:rPr>
      </w:pPr>
    </w:p>
    <w:p w14:paraId="491967F9" w14:textId="77777777" w:rsidR="00D21CC6" w:rsidRPr="001F5897" w:rsidRDefault="00D21CC6" w:rsidP="00D21CC6">
      <w:pPr>
        <w:spacing w:after="120"/>
        <w:ind w:firstLine="709"/>
        <w:rPr>
          <w:rFonts w:eastAsia="Batang"/>
          <w:sz w:val="24"/>
          <w:szCs w:val="24"/>
        </w:rPr>
      </w:pPr>
      <w:r w:rsidRPr="001F5897">
        <w:rPr>
          <w:rFonts w:eastAsia="Batang"/>
          <w:sz w:val="24"/>
          <w:szCs w:val="24"/>
        </w:rPr>
        <w:t xml:space="preserve">In 2014, FSJ received, 59 reports on transportation of currency in the total amount of </w:t>
      </w:r>
      <w:r w:rsidRPr="001F5897">
        <w:rPr>
          <w:rFonts w:eastAsia="Batang"/>
          <w:bCs/>
          <w:sz w:val="24"/>
          <w:szCs w:val="24"/>
        </w:rPr>
        <w:t>1.764.189</w:t>
      </w:r>
      <w:proofErr w:type="gramStart"/>
      <w:r w:rsidRPr="001F5897">
        <w:rPr>
          <w:rFonts w:eastAsia="Batang"/>
          <w:bCs/>
          <w:sz w:val="24"/>
          <w:szCs w:val="24"/>
        </w:rPr>
        <w:t>,33</w:t>
      </w:r>
      <w:proofErr w:type="gramEnd"/>
      <w:r w:rsidRPr="001F5897">
        <w:rPr>
          <w:rFonts w:eastAsia="Batang"/>
          <w:bCs/>
          <w:sz w:val="24"/>
          <w:szCs w:val="24"/>
        </w:rPr>
        <w:t xml:space="preserve"> EUR from the Customs Directorate of the Slovak Republic</w:t>
      </w:r>
      <w:r w:rsidRPr="001F5897">
        <w:rPr>
          <w:rFonts w:eastAsia="Batang"/>
          <w:sz w:val="24"/>
          <w:szCs w:val="24"/>
        </w:rPr>
        <w:t xml:space="preserve"> pursuant to Section 4 (4) of the Customs Act</w:t>
      </w:r>
      <w:r w:rsidRPr="001F5897">
        <w:rPr>
          <w:rFonts w:eastAsia="Batang"/>
          <w:bCs/>
          <w:sz w:val="24"/>
          <w:szCs w:val="24"/>
        </w:rPr>
        <w:t xml:space="preserve">, 1 notification on infringement of the customs regulations pursuant to Section 72 (1) (n) of the Customs Act and 1 information from the performance of activities of the Customs department </w:t>
      </w:r>
      <w:proofErr w:type="spellStart"/>
      <w:r w:rsidRPr="001F5897">
        <w:rPr>
          <w:rFonts w:eastAsia="Batang"/>
          <w:bCs/>
          <w:sz w:val="24"/>
          <w:szCs w:val="24"/>
        </w:rPr>
        <w:t>Košice</w:t>
      </w:r>
      <w:proofErr w:type="spellEnd"/>
      <w:r w:rsidRPr="001F5897">
        <w:rPr>
          <w:rFonts w:eastAsia="Batang"/>
          <w:bCs/>
          <w:sz w:val="24"/>
          <w:szCs w:val="24"/>
        </w:rPr>
        <w:t xml:space="preserve"> related to the sending of currency in package.   </w:t>
      </w:r>
    </w:p>
    <w:p w14:paraId="6EB6A1BB" w14:textId="77777777" w:rsidR="00D21CC6" w:rsidRPr="001F5897" w:rsidRDefault="00D21CC6" w:rsidP="00D21CC6">
      <w:pPr>
        <w:spacing w:after="120"/>
        <w:ind w:firstLine="709"/>
        <w:rPr>
          <w:rFonts w:eastAsia="Batang"/>
          <w:sz w:val="24"/>
          <w:szCs w:val="24"/>
        </w:rPr>
      </w:pPr>
      <w:r w:rsidRPr="001F5897">
        <w:rPr>
          <w:rFonts w:eastAsia="Batang"/>
          <w:sz w:val="24"/>
          <w:szCs w:val="24"/>
        </w:rPr>
        <w:t xml:space="preserve">From the total number of the reports on transportation of currency, there were 50 reports received from the road border crossing-point </w:t>
      </w:r>
      <w:proofErr w:type="spellStart"/>
      <w:r w:rsidRPr="001F5897">
        <w:rPr>
          <w:rFonts w:eastAsia="Batang"/>
          <w:sz w:val="24"/>
          <w:szCs w:val="24"/>
        </w:rPr>
        <w:t>Vyšné</w:t>
      </w:r>
      <w:proofErr w:type="spellEnd"/>
      <w:r w:rsidRPr="001F5897">
        <w:rPr>
          <w:rFonts w:eastAsia="Batang"/>
          <w:sz w:val="24"/>
          <w:szCs w:val="24"/>
        </w:rPr>
        <w:t xml:space="preserve"> </w:t>
      </w:r>
      <w:proofErr w:type="spellStart"/>
      <w:r w:rsidRPr="001F5897">
        <w:rPr>
          <w:rFonts w:eastAsia="Batang"/>
          <w:sz w:val="24"/>
          <w:szCs w:val="24"/>
        </w:rPr>
        <w:t>Nemecké</w:t>
      </w:r>
      <w:proofErr w:type="spellEnd"/>
      <w:r w:rsidRPr="001F5897">
        <w:rPr>
          <w:rFonts w:eastAsia="Batang"/>
          <w:sz w:val="24"/>
          <w:szCs w:val="24"/>
        </w:rPr>
        <w:t xml:space="preserve">. From mentioned number, 49 reports were related to entry into the territory of the Slovak Republic and 1 report was related to exit from the territory of the Slovak Republic. FSJ received 5 reports from the road border crossing-point </w:t>
      </w:r>
      <w:proofErr w:type="spellStart"/>
      <w:r w:rsidRPr="001F5897">
        <w:rPr>
          <w:rFonts w:eastAsia="Batang"/>
          <w:sz w:val="24"/>
          <w:szCs w:val="24"/>
        </w:rPr>
        <w:t>Ubľa</w:t>
      </w:r>
      <w:proofErr w:type="spellEnd"/>
      <w:r w:rsidRPr="001F5897">
        <w:rPr>
          <w:rFonts w:eastAsia="Batang"/>
          <w:sz w:val="24"/>
          <w:szCs w:val="24"/>
        </w:rPr>
        <w:t xml:space="preserve"> and all of them were related to entry into the territory of the Slovak Republic. FSJ received 4 reports from the Customs office in Bratislava, the Airport M. R. </w:t>
      </w:r>
      <w:proofErr w:type="spellStart"/>
      <w:r w:rsidRPr="001F5897">
        <w:rPr>
          <w:rFonts w:eastAsia="Batang"/>
          <w:sz w:val="24"/>
          <w:szCs w:val="24"/>
        </w:rPr>
        <w:t>Štefánik</w:t>
      </w:r>
      <w:proofErr w:type="spellEnd"/>
      <w:r w:rsidRPr="001F5897">
        <w:rPr>
          <w:rFonts w:eastAsia="Batang"/>
          <w:sz w:val="24"/>
          <w:szCs w:val="24"/>
        </w:rPr>
        <w:t xml:space="preserve"> (2 reports were related to the entry into the territory and 2 reports were related to the exit from the territory). </w:t>
      </w:r>
    </w:p>
    <w:p w14:paraId="6F6780D0" w14:textId="77777777" w:rsidR="00D21CC6" w:rsidRPr="001F5897" w:rsidRDefault="00D21CC6" w:rsidP="00D21CC6">
      <w:pPr>
        <w:spacing w:after="120"/>
        <w:ind w:firstLine="709"/>
        <w:rPr>
          <w:rFonts w:eastAsia="Batang"/>
          <w:sz w:val="24"/>
          <w:szCs w:val="24"/>
        </w:rPr>
      </w:pPr>
      <w:r w:rsidRPr="001F5897">
        <w:rPr>
          <w:rFonts w:eastAsia="Batang"/>
          <w:sz w:val="24"/>
          <w:szCs w:val="24"/>
        </w:rPr>
        <w:lastRenderedPageBreak/>
        <w:t xml:space="preserve">The obliged entities, who submitted the mentioned reports on transportation of currency pursuant to §4 (2) of the Customs Act, were mostly the citizens of Ukraine, Hungary, Russia and Romania. </w:t>
      </w:r>
    </w:p>
    <w:p w14:paraId="70C58B65" w14:textId="77777777" w:rsidR="00D21CC6" w:rsidRPr="001F5897" w:rsidRDefault="00D21CC6" w:rsidP="00D21CC6">
      <w:pPr>
        <w:spacing w:after="120"/>
        <w:ind w:firstLine="709"/>
        <w:rPr>
          <w:rFonts w:eastAsia="Batang"/>
          <w:sz w:val="24"/>
          <w:szCs w:val="24"/>
        </w:rPr>
      </w:pPr>
      <w:r w:rsidRPr="001F5897">
        <w:rPr>
          <w:rFonts w:eastAsia="Batang"/>
          <w:sz w:val="24"/>
          <w:szCs w:val="24"/>
        </w:rPr>
        <w:t xml:space="preserve">The most stated purposes of use of the transported currency in cash were the deposit to bank accounts conducted with the bank seated in the Slovak Republic or conducted with the bank seated in Hungary, the purchase of motor vehicle in the Slovak Republic, in the Czech Republic, in Germany, in Poland, in Italy, in Spain and in Hungary. The obliged entities also stated as the reason of the transportation of currency in cash the purchase of real estates and the purchase of items of personal use. </w:t>
      </w:r>
    </w:p>
    <w:p w14:paraId="658187D1" w14:textId="77777777" w:rsidR="00D21CC6" w:rsidRPr="001F5897" w:rsidRDefault="00D21CC6" w:rsidP="00D21CC6">
      <w:pPr>
        <w:spacing w:after="120"/>
        <w:ind w:firstLine="709"/>
        <w:contextualSpacing/>
        <w:rPr>
          <w:rFonts w:eastAsia="Calibri"/>
          <w:sz w:val="24"/>
          <w:szCs w:val="24"/>
          <w:lang w:eastAsia="en-US"/>
        </w:rPr>
      </w:pPr>
      <w:r w:rsidRPr="001F5897">
        <w:rPr>
          <w:rFonts w:eastAsia="Calibri"/>
          <w:sz w:val="24"/>
          <w:szCs w:val="24"/>
          <w:lang w:eastAsia="en-US"/>
        </w:rPr>
        <w:t xml:space="preserve">Information from the received reports on transportation of currency were after the examination via the available information systems of the Police Force, including the information system of FSJ and the open sources,  inserted into the complex information system of FSJ for further utilization (in number 56). In 3 cases the information was spontaneously forwarded for further utilization to FIU Ukraine.  </w:t>
      </w:r>
    </w:p>
    <w:p w14:paraId="35444CF2" w14:textId="77777777" w:rsidR="00D21CC6" w:rsidRPr="001F5897" w:rsidRDefault="00D21CC6" w:rsidP="00D21CC6">
      <w:pPr>
        <w:spacing w:after="120"/>
        <w:rPr>
          <w:rFonts w:eastAsia="Batang"/>
          <w:highlight w:val="yellow"/>
        </w:rPr>
      </w:pPr>
    </w:p>
    <w:p w14:paraId="1848A899" w14:textId="77777777" w:rsidR="00D21CC6" w:rsidRPr="001F5897" w:rsidRDefault="00D21CC6" w:rsidP="00D21CC6">
      <w:pPr>
        <w:spacing w:after="120"/>
      </w:pPr>
      <w:r w:rsidRPr="001F5897">
        <w:rPr>
          <w:rFonts w:eastAsia="Batang"/>
        </w:rPr>
        <w:t xml:space="preserve">Chart No. 20: Comparison of the total numbers of currency transportation reports received by FSJ and comparison of volumes of the currency transported from/to EU in the years </w:t>
      </w:r>
      <w:r w:rsidRPr="001F5897">
        <w:t>2009 – 2014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081"/>
        <w:gridCol w:w="3081"/>
      </w:tblGrid>
      <w:tr w:rsidR="00D21CC6" w:rsidRPr="001F5897" w14:paraId="792FF4C3" w14:textId="77777777" w:rsidTr="00D21CC6">
        <w:trPr>
          <w:trHeight w:val="737"/>
        </w:trPr>
        <w:tc>
          <w:tcPr>
            <w:tcW w:w="2971" w:type="dxa"/>
            <w:shd w:val="clear" w:color="auto" w:fill="B8CCE4" w:themeFill="accent1" w:themeFillTint="66"/>
            <w:vAlign w:val="center"/>
          </w:tcPr>
          <w:p w14:paraId="3678B067" w14:textId="77777777" w:rsidR="00D21CC6" w:rsidRPr="001F5897" w:rsidRDefault="00D21CC6" w:rsidP="00D21CC6">
            <w:pPr>
              <w:jc w:val="center"/>
              <w:rPr>
                <w:b/>
                <w:bCs/>
                <w:sz w:val="24"/>
                <w:szCs w:val="24"/>
              </w:rPr>
            </w:pPr>
            <w:r w:rsidRPr="001F5897">
              <w:rPr>
                <w:b/>
                <w:bCs/>
                <w:sz w:val="24"/>
                <w:szCs w:val="24"/>
              </w:rPr>
              <w:t>Year</w:t>
            </w:r>
          </w:p>
        </w:tc>
        <w:tc>
          <w:tcPr>
            <w:tcW w:w="3081" w:type="dxa"/>
            <w:shd w:val="clear" w:color="auto" w:fill="B8CCE4" w:themeFill="accent1" w:themeFillTint="66"/>
            <w:vAlign w:val="center"/>
          </w:tcPr>
          <w:p w14:paraId="4F142972" w14:textId="77777777" w:rsidR="00D21CC6" w:rsidRPr="001F5897" w:rsidRDefault="00D21CC6" w:rsidP="00D21CC6">
            <w:pPr>
              <w:jc w:val="center"/>
              <w:rPr>
                <w:b/>
                <w:bCs/>
                <w:sz w:val="24"/>
                <w:szCs w:val="24"/>
              </w:rPr>
            </w:pPr>
            <w:r w:rsidRPr="001F5897">
              <w:rPr>
                <w:b/>
                <w:bCs/>
                <w:sz w:val="24"/>
                <w:szCs w:val="24"/>
              </w:rPr>
              <w:t>Number of the received reports</w:t>
            </w:r>
          </w:p>
        </w:tc>
        <w:tc>
          <w:tcPr>
            <w:tcW w:w="3081" w:type="dxa"/>
            <w:shd w:val="clear" w:color="auto" w:fill="B8CCE4" w:themeFill="accent1" w:themeFillTint="66"/>
            <w:vAlign w:val="center"/>
          </w:tcPr>
          <w:p w14:paraId="5386E5EF" w14:textId="77777777" w:rsidR="00D21CC6" w:rsidRPr="001F5897" w:rsidRDefault="00D21CC6" w:rsidP="00D21CC6">
            <w:pPr>
              <w:jc w:val="center"/>
              <w:rPr>
                <w:b/>
                <w:bCs/>
                <w:sz w:val="24"/>
                <w:szCs w:val="24"/>
              </w:rPr>
            </w:pPr>
            <w:r w:rsidRPr="001F5897">
              <w:rPr>
                <w:b/>
                <w:bCs/>
                <w:sz w:val="24"/>
                <w:szCs w:val="24"/>
              </w:rPr>
              <w:t>Volume of the transported currency in EUR</w:t>
            </w:r>
          </w:p>
        </w:tc>
      </w:tr>
      <w:tr w:rsidR="00D21CC6" w:rsidRPr="001F5897" w14:paraId="26C848FE" w14:textId="77777777" w:rsidTr="00D21CC6">
        <w:trPr>
          <w:trHeight w:val="737"/>
        </w:trPr>
        <w:tc>
          <w:tcPr>
            <w:tcW w:w="2971" w:type="dxa"/>
            <w:shd w:val="clear" w:color="auto" w:fill="DBE5F1" w:themeFill="accent1" w:themeFillTint="33"/>
            <w:vAlign w:val="center"/>
          </w:tcPr>
          <w:p w14:paraId="3FCDCF1B" w14:textId="77777777" w:rsidR="00D21CC6" w:rsidRPr="001F5897" w:rsidRDefault="00D21CC6" w:rsidP="00D21CC6">
            <w:pPr>
              <w:jc w:val="center"/>
              <w:rPr>
                <w:b/>
                <w:bCs/>
                <w:sz w:val="24"/>
                <w:szCs w:val="24"/>
              </w:rPr>
            </w:pPr>
            <w:r w:rsidRPr="001F5897">
              <w:rPr>
                <w:b/>
                <w:bCs/>
                <w:sz w:val="24"/>
                <w:szCs w:val="24"/>
              </w:rPr>
              <w:t>2009</w:t>
            </w:r>
          </w:p>
        </w:tc>
        <w:tc>
          <w:tcPr>
            <w:tcW w:w="3081" w:type="dxa"/>
            <w:shd w:val="clear" w:color="auto" w:fill="DBE5F1" w:themeFill="accent1" w:themeFillTint="33"/>
            <w:vAlign w:val="center"/>
          </w:tcPr>
          <w:p w14:paraId="558F18CC" w14:textId="77777777" w:rsidR="00D21CC6" w:rsidRPr="001F5897" w:rsidRDefault="00D21CC6" w:rsidP="00D21CC6">
            <w:pPr>
              <w:jc w:val="center"/>
              <w:rPr>
                <w:sz w:val="24"/>
                <w:szCs w:val="24"/>
              </w:rPr>
            </w:pPr>
            <w:r w:rsidRPr="001F5897">
              <w:rPr>
                <w:sz w:val="24"/>
                <w:szCs w:val="24"/>
              </w:rPr>
              <w:t>5</w:t>
            </w:r>
          </w:p>
        </w:tc>
        <w:tc>
          <w:tcPr>
            <w:tcW w:w="3081" w:type="dxa"/>
            <w:shd w:val="clear" w:color="auto" w:fill="DBE5F1" w:themeFill="accent1" w:themeFillTint="33"/>
            <w:vAlign w:val="center"/>
          </w:tcPr>
          <w:p w14:paraId="6DB729B7" w14:textId="77777777" w:rsidR="00D21CC6" w:rsidRPr="001F5897" w:rsidRDefault="00D21CC6" w:rsidP="00D21CC6">
            <w:pPr>
              <w:jc w:val="center"/>
              <w:rPr>
                <w:sz w:val="24"/>
                <w:szCs w:val="24"/>
              </w:rPr>
            </w:pPr>
            <w:r w:rsidRPr="001F5897">
              <w:rPr>
                <w:sz w:val="24"/>
                <w:szCs w:val="24"/>
              </w:rPr>
              <w:t>125.400</w:t>
            </w:r>
          </w:p>
        </w:tc>
      </w:tr>
      <w:tr w:rsidR="00D21CC6" w:rsidRPr="001F5897" w14:paraId="5A8720F8" w14:textId="77777777" w:rsidTr="00D21CC6">
        <w:trPr>
          <w:trHeight w:val="737"/>
        </w:trPr>
        <w:tc>
          <w:tcPr>
            <w:tcW w:w="2971" w:type="dxa"/>
            <w:shd w:val="clear" w:color="auto" w:fill="DBE5F1" w:themeFill="accent1" w:themeFillTint="33"/>
            <w:vAlign w:val="center"/>
          </w:tcPr>
          <w:p w14:paraId="6CA50752" w14:textId="77777777" w:rsidR="00D21CC6" w:rsidRPr="001F5897" w:rsidRDefault="00D21CC6" w:rsidP="00D21CC6">
            <w:pPr>
              <w:jc w:val="center"/>
              <w:rPr>
                <w:b/>
                <w:bCs/>
                <w:sz w:val="24"/>
                <w:szCs w:val="24"/>
              </w:rPr>
            </w:pPr>
            <w:r w:rsidRPr="001F5897">
              <w:rPr>
                <w:b/>
                <w:bCs/>
                <w:sz w:val="24"/>
                <w:szCs w:val="24"/>
              </w:rPr>
              <w:t>2010</w:t>
            </w:r>
          </w:p>
        </w:tc>
        <w:tc>
          <w:tcPr>
            <w:tcW w:w="3081" w:type="dxa"/>
            <w:shd w:val="clear" w:color="auto" w:fill="DBE5F1" w:themeFill="accent1" w:themeFillTint="33"/>
            <w:vAlign w:val="center"/>
          </w:tcPr>
          <w:p w14:paraId="1216C6D5" w14:textId="77777777" w:rsidR="00D21CC6" w:rsidRPr="001F5897" w:rsidRDefault="00D21CC6" w:rsidP="00D21CC6">
            <w:pPr>
              <w:jc w:val="center"/>
              <w:rPr>
                <w:sz w:val="24"/>
                <w:szCs w:val="24"/>
              </w:rPr>
            </w:pPr>
            <w:r w:rsidRPr="001F5897">
              <w:rPr>
                <w:sz w:val="24"/>
                <w:szCs w:val="24"/>
              </w:rPr>
              <w:t>36</w:t>
            </w:r>
          </w:p>
        </w:tc>
        <w:tc>
          <w:tcPr>
            <w:tcW w:w="3081" w:type="dxa"/>
            <w:shd w:val="clear" w:color="auto" w:fill="DBE5F1" w:themeFill="accent1" w:themeFillTint="33"/>
            <w:vAlign w:val="center"/>
          </w:tcPr>
          <w:p w14:paraId="0ED69E64" w14:textId="77777777" w:rsidR="00D21CC6" w:rsidRPr="001F5897" w:rsidRDefault="00D21CC6" w:rsidP="00D21CC6">
            <w:pPr>
              <w:jc w:val="center"/>
              <w:rPr>
                <w:sz w:val="24"/>
                <w:szCs w:val="24"/>
              </w:rPr>
            </w:pPr>
            <w:r w:rsidRPr="001F5897">
              <w:rPr>
                <w:sz w:val="24"/>
                <w:szCs w:val="24"/>
              </w:rPr>
              <w:t>1.241.178</w:t>
            </w:r>
          </w:p>
        </w:tc>
      </w:tr>
      <w:tr w:rsidR="00D21CC6" w:rsidRPr="001F5897" w14:paraId="2EC057DC" w14:textId="77777777" w:rsidTr="00D21CC6">
        <w:trPr>
          <w:trHeight w:val="737"/>
        </w:trPr>
        <w:tc>
          <w:tcPr>
            <w:tcW w:w="2971" w:type="dxa"/>
            <w:shd w:val="clear" w:color="auto" w:fill="DBE5F1" w:themeFill="accent1" w:themeFillTint="33"/>
            <w:vAlign w:val="center"/>
          </w:tcPr>
          <w:p w14:paraId="0D089E3E" w14:textId="77777777" w:rsidR="00D21CC6" w:rsidRPr="001F5897" w:rsidRDefault="00D21CC6" w:rsidP="00D21CC6">
            <w:pPr>
              <w:jc w:val="center"/>
              <w:rPr>
                <w:b/>
                <w:bCs/>
                <w:sz w:val="24"/>
                <w:szCs w:val="24"/>
              </w:rPr>
            </w:pPr>
            <w:r w:rsidRPr="001F5897">
              <w:rPr>
                <w:b/>
                <w:bCs/>
                <w:sz w:val="24"/>
                <w:szCs w:val="24"/>
              </w:rPr>
              <w:t>2011</w:t>
            </w:r>
          </w:p>
        </w:tc>
        <w:tc>
          <w:tcPr>
            <w:tcW w:w="3081" w:type="dxa"/>
            <w:shd w:val="clear" w:color="auto" w:fill="DBE5F1" w:themeFill="accent1" w:themeFillTint="33"/>
            <w:vAlign w:val="center"/>
          </w:tcPr>
          <w:p w14:paraId="1EAB6354" w14:textId="77777777" w:rsidR="00D21CC6" w:rsidRPr="001F5897" w:rsidRDefault="00D21CC6" w:rsidP="00D21CC6">
            <w:pPr>
              <w:jc w:val="center"/>
              <w:rPr>
                <w:sz w:val="24"/>
                <w:szCs w:val="24"/>
              </w:rPr>
            </w:pPr>
            <w:r w:rsidRPr="001F5897">
              <w:rPr>
                <w:sz w:val="24"/>
                <w:szCs w:val="24"/>
              </w:rPr>
              <w:t>66</w:t>
            </w:r>
          </w:p>
        </w:tc>
        <w:tc>
          <w:tcPr>
            <w:tcW w:w="3081" w:type="dxa"/>
            <w:shd w:val="clear" w:color="auto" w:fill="DBE5F1" w:themeFill="accent1" w:themeFillTint="33"/>
            <w:vAlign w:val="center"/>
          </w:tcPr>
          <w:p w14:paraId="300E46D6" w14:textId="77777777" w:rsidR="00D21CC6" w:rsidRPr="001F5897" w:rsidRDefault="00D21CC6" w:rsidP="00D21CC6">
            <w:pPr>
              <w:jc w:val="center"/>
              <w:rPr>
                <w:sz w:val="24"/>
                <w:szCs w:val="24"/>
              </w:rPr>
            </w:pPr>
            <w:r w:rsidRPr="001F5897">
              <w:rPr>
                <w:sz w:val="24"/>
                <w:szCs w:val="24"/>
              </w:rPr>
              <w:t>312.637</w:t>
            </w:r>
          </w:p>
        </w:tc>
      </w:tr>
      <w:tr w:rsidR="00D21CC6" w:rsidRPr="001F5897" w14:paraId="0C150ADC" w14:textId="77777777" w:rsidTr="00D21CC6">
        <w:trPr>
          <w:trHeight w:val="737"/>
        </w:trPr>
        <w:tc>
          <w:tcPr>
            <w:tcW w:w="2971" w:type="dxa"/>
            <w:shd w:val="clear" w:color="auto" w:fill="DBE5F1" w:themeFill="accent1" w:themeFillTint="33"/>
            <w:vAlign w:val="center"/>
          </w:tcPr>
          <w:p w14:paraId="23F75DC7" w14:textId="77777777" w:rsidR="00D21CC6" w:rsidRPr="001F5897" w:rsidRDefault="00D21CC6" w:rsidP="00D21CC6">
            <w:pPr>
              <w:jc w:val="center"/>
              <w:rPr>
                <w:b/>
                <w:bCs/>
                <w:sz w:val="24"/>
                <w:szCs w:val="24"/>
              </w:rPr>
            </w:pPr>
            <w:r w:rsidRPr="001F5897">
              <w:rPr>
                <w:b/>
                <w:bCs/>
                <w:sz w:val="24"/>
                <w:szCs w:val="24"/>
              </w:rPr>
              <w:t>2012</w:t>
            </w:r>
          </w:p>
        </w:tc>
        <w:tc>
          <w:tcPr>
            <w:tcW w:w="3081" w:type="dxa"/>
            <w:shd w:val="clear" w:color="auto" w:fill="DBE5F1" w:themeFill="accent1" w:themeFillTint="33"/>
            <w:vAlign w:val="center"/>
          </w:tcPr>
          <w:p w14:paraId="63D56060" w14:textId="77777777" w:rsidR="00D21CC6" w:rsidRPr="001F5897" w:rsidRDefault="00D21CC6" w:rsidP="00D21CC6">
            <w:pPr>
              <w:jc w:val="center"/>
              <w:rPr>
                <w:sz w:val="24"/>
                <w:szCs w:val="24"/>
              </w:rPr>
            </w:pPr>
            <w:r w:rsidRPr="001F5897">
              <w:rPr>
                <w:sz w:val="24"/>
                <w:szCs w:val="24"/>
              </w:rPr>
              <w:t>63</w:t>
            </w:r>
          </w:p>
        </w:tc>
        <w:tc>
          <w:tcPr>
            <w:tcW w:w="3081" w:type="dxa"/>
            <w:shd w:val="clear" w:color="auto" w:fill="DBE5F1" w:themeFill="accent1" w:themeFillTint="33"/>
            <w:vAlign w:val="center"/>
          </w:tcPr>
          <w:p w14:paraId="0BDF2EDA" w14:textId="77777777" w:rsidR="00D21CC6" w:rsidRPr="001F5897" w:rsidRDefault="00D21CC6" w:rsidP="00D21CC6">
            <w:pPr>
              <w:jc w:val="center"/>
              <w:rPr>
                <w:sz w:val="24"/>
                <w:szCs w:val="24"/>
              </w:rPr>
            </w:pPr>
            <w:r w:rsidRPr="001F5897">
              <w:rPr>
                <w:sz w:val="24"/>
                <w:szCs w:val="24"/>
              </w:rPr>
              <w:t>1.649.419,38</w:t>
            </w:r>
          </w:p>
        </w:tc>
      </w:tr>
      <w:tr w:rsidR="00D21CC6" w:rsidRPr="001F5897" w14:paraId="200D2DC9" w14:textId="77777777" w:rsidTr="00D21CC6">
        <w:trPr>
          <w:trHeight w:val="737"/>
        </w:trPr>
        <w:tc>
          <w:tcPr>
            <w:tcW w:w="2971" w:type="dxa"/>
            <w:shd w:val="clear" w:color="auto" w:fill="DBE5F1" w:themeFill="accent1" w:themeFillTint="33"/>
            <w:vAlign w:val="center"/>
          </w:tcPr>
          <w:p w14:paraId="1E4E4D1A" w14:textId="77777777" w:rsidR="00D21CC6" w:rsidRPr="001F5897" w:rsidRDefault="00D21CC6" w:rsidP="00D21CC6">
            <w:pPr>
              <w:jc w:val="center"/>
              <w:rPr>
                <w:b/>
                <w:bCs/>
                <w:sz w:val="24"/>
                <w:szCs w:val="24"/>
              </w:rPr>
            </w:pPr>
            <w:r w:rsidRPr="001F5897">
              <w:rPr>
                <w:b/>
                <w:bCs/>
                <w:sz w:val="24"/>
                <w:szCs w:val="24"/>
              </w:rPr>
              <w:t>2013</w:t>
            </w:r>
          </w:p>
        </w:tc>
        <w:tc>
          <w:tcPr>
            <w:tcW w:w="3081" w:type="dxa"/>
            <w:shd w:val="clear" w:color="auto" w:fill="DBE5F1" w:themeFill="accent1" w:themeFillTint="33"/>
            <w:vAlign w:val="center"/>
          </w:tcPr>
          <w:p w14:paraId="3CF0943F" w14:textId="77777777" w:rsidR="00D21CC6" w:rsidRPr="001F5897" w:rsidRDefault="00D21CC6" w:rsidP="00D21CC6">
            <w:pPr>
              <w:jc w:val="center"/>
              <w:rPr>
                <w:sz w:val="24"/>
                <w:szCs w:val="24"/>
              </w:rPr>
            </w:pPr>
            <w:r w:rsidRPr="001F5897">
              <w:rPr>
                <w:sz w:val="24"/>
                <w:szCs w:val="24"/>
              </w:rPr>
              <w:t>58</w:t>
            </w:r>
          </w:p>
        </w:tc>
        <w:tc>
          <w:tcPr>
            <w:tcW w:w="3081" w:type="dxa"/>
            <w:shd w:val="clear" w:color="auto" w:fill="DBE5F1" w:themeFill="accent1" w:themeFillTint="33"/>
            <w:vAlign w:val="center"/>
          </w:tcPr>
          <w:p w14:paraId="7473F865" w14:textId="77777777" w:rsidR="00D21CC6" w:rsidRPr="001F5897" w:rsidRDefault="00D21CC6" w:rsidP="00D21CC6">
            <w:pPr>
              <w:jc w:val="center"/>
              <w:rPr>
                <w:sz w:val="24"/>
                <w:szCs w:val="24"/>
              </w:rPr>
            </w:pPr>
            <w:r w:rsidRPr="001F5897">
              <w:rPr>
                <w:sz w:val="24"/>
                <w:szCs w:val="24"/>
              </w:rPr>
              <w:t>1.422.131,86</w:t>
            </w:r>
          </w:p>
        </w:tc>
      </w:tr>
      <w:tr w:rsidR="00D21CC6" w:rsidRPr="001F5897" w14:paraId="5D004D14" w14:textId="77777777" w:rsidTr="00D21CC6">
        <w:trPr>
          <w:trHeight w:val="737"/>
        </w:trPr>
        <w:tc>
          <w:tcPr>
            <w:tcW w:w="29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22B7F" w14:textId="77777777" w:rsidR="00D21CC6" w:rsidRPr="001F5897" w:rsidRDefault="00D21CC6" w:rsidP="00D21CC6">
            <w:pPr>
              <w:jc w:val="center"/>
              <w:rPr>
                <w:b/>
                <w:bCs/>
                <w:sz w:val="24"/>
                <w:szCs w:val="24"/>
              </w:rPr>
            </w:pPr>
            <w:r w:rsidRPr="001F5897">
              <w:rPr>
                <w:b/>
                <w:bCs/>
                <w:sz w:val="24"/>
                <w:szCs w:val="24"/>
              </w:rPr>
              <w:t>2014</w:t>
            </w:r>
          </w:p>
        </w:tc>
        <w:tc>
          <w:tcPr>
            <w:tcW w:w="30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B78CF" w14:textId="77777777" w:rsidR="00D21CC6" w:rsidRPr="001F5897" w:rsidRDefault="00D21CC6" w:rsidP="00D21CC6">
            <w:pPr>
              <w:jc w:val="center"/>
              <w:rPr>
                <w:sz w:val="24"/>
                <w:szCs w:val="24"/>
              </w:rPr>
            </w:pPr>
            <w:r w:rsidRPr="001F5897">
              <w:rPr>
                <w:sz w:val="24"/>
                <w:szCs w:val="24"/>
              </w:rPr>
              <w:t>59</w:t>
            </w:r>
          </w:p>
        </w:tc>
        <w:tc>
          <w:tcPr>
            <w:tcW w:w="30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67697" w14:textId="77777777" w:rsidR="00D21CC6" w:rsidRPr="001F5897" w:rsidRDefault="00D21CC6" w:rsidP="00D21CC6">
            <w:pPr>
              <w:jc w:val="center"/>
              <w:rPr>
                <w:sz w:val="24"/>
                <w:szCs w:val="24"/>
              </w:rPr>
            </w:pPr>
            <w:r w:rsidRPr="001F5897">
              <w:rPr>
                <w:sz w:val="24"/>
                <w:szCs w:val="24"/>
              </w:rPr>
              <w:t>1.764.189,93</w:t>
            </w:r>
          </w:p>
        </w:tc>
      </w:tr>
    </w:tbl>
    <w:p w14:paraId="6F99EA61" w14:textId="77777777" w:rsidR="00D21CC6" w:rsidRPr="001F5897" w:rsidRDefault="00D21CC6" w:rsidP="00D21CC6">
      <w:pPr>
        <w:spacing w:after="120"/>
        <w:rPr>
          <w:highlight w:val="yellow"/>
        </w:rPr>
      </w:pPr>
    </w:p>
    <w:p w14:paraId="1455DA4B" w14:textId="77777777" w:rsidR="00D21CC6" w:rsidRPr="001F5897" w:rsidRDefault="00D21CC6" w:rsidP="00D21CC6">
      <w:pPr>
        <w:spacing w:after="120"/>
      </w:pPr>
    </w:p>
    <w:p w14:paraId="3CA4300F" w14:textId="77777777" w:rsidR="00D21CC6" w:rsidRPr="001F5897" w:rsidRDefault="00D21CC6" w:rsidP="00D21CC6">
      <w:pPr>
        <w:spacing w:after="120"/>
      </w:pPr>
    </w:p>
    <w:p w14:paraId="01D48DDD" w14:textId="77777777" w:rsidR="00D21CC6" w:rsidRPr="001F5897" w:rsidRDefault="00D21CC6" w:rsidP="00D21CC6">
      <w:pPr>
        <w:spacing w:after="120"/>
      </w:pPr>
    </w:p>
    <w:p w14:paraId="525305AA" w14:textId="77777777" w:rsidR="00D21CC6" w:rsidRPr="001F5897" w:rsidRDefault="00D21CC6" w:rsidP="00D21CC6">
      <w:pPr>
        <w:spacing w:after="120"/>
      </w:pPr>
    </w:p>
    <w:p w14:paraId="560D354F" w14:textId="77777777" w:rsidR="00D21CC6" w:rsidRPr="001F5897" w:rsidRDefault="00D21CC6" w:rsidP="00D21CC6">
      <w:pPr>
        <w:spacing w:after="120"/>
      </w:pPr>
    </w:p>
    <w:p w14:paraId="53C2ED6B" w14:textId="77777777" w:rsidR="00D21CC6" w:rsidRPr="001F5897" w:rsidRDefault="00D21CC6" w:rsidP="00D21CC6">
      <w:pPr>
        <w:spacing w:after="120"/>
      </w:pPr>
    </w:p>
    <w:p w14:paraId="781AF3EA" w14:textId="77777777" w:rsidR="00D21CC6" w:rsidRPr="001F5897" w:rsidRDefault="00D21CC6" w:rsidP="00D21CC6">
      <w:pPr>
        <w:spacing w:after="120"/>
      </w:pPr>
    </w:p>
    <w:p w14:paraId="3D0C543D" w14:textId="77777777" w:rsidR="00D21CC6" w:rsidRPr="001F5897" w:rsidRDefault="00D21CC6" w:rsidP="00D21CC6">
      <w:pPr>
        <w:spacing w:after="120"/>
      </w:pPr>
    </w:p>
    <w:p w14:paraId="1D088825" w14:textId="77777777" w:rsidR="00D21CC6" w:rsidRPr="001F5897" w:rsidRDefault="00D21CC6" w:rsidP="00D21CC6">
      <w:pPr>
        <w:spacing w:after="120"/>
      </w:pPr>
    </w:p>
    <w:p w14:paraId="6B5BC111" w14:textId="77777777" w:rsidR="00D21CC6" w:rsidRPr="001F5897" w:rsidRDefault="00D21CC6" w:rsidP="00D21CC6">
      <w:pPr>
        <w:spacing w:after="120"/>
      </w:pPr>
    </w:p>
    <w:p w14:paraId="7EC17D93" w14:textId="77777777" w:rsidR="00D21CC6" w:rsidRPr="001F5897" w:rsidRDefault="00D21CC6" w:rsidP="00D21CC6">
      <w:pPr>
        <w:spacing w:after="120"/>
      </w:pPr>
      <w:r w:rsidRPr="001F5897">
        <w:lastRenderedPageBreak/>
        <w:t>Graph No. 7: Volume of the currency transported from/to EU reported to FSJ in the years 2009 – 2014</w:t>
      </w:r>
    </w:p>
    <w:p w14:paraId="5FFB77A5" w14:textId="77777777" w:rsidR="00D21CC6" w:rsidRPr="001F5897" w:rsidRDefault="00D21CC6" w:rsidP="00D21CC6">
      <w:pPr>
        <w:spacing w:after="120"/>
        <w:rPr>
          <w:rFonts w:eastAsia="Batang"/>
          <w:sz w:val="24"/>
          <w:szCs w:val="24"/>
        </w:rPr>
      </w:pPr>
      <w:r w:rsidRPr="001F5897">
        <w:t xml:space="preserve"> </w:t>
      </w:r>
      <w:r w:rsidRPr="001F5897">
        <w:rPr>
          <w:noProof/>
          <w:color w:val="E36C0A"/>
          <w:lang w:val="sk-SK"/>
        </w:rPr>
        <w:drawing>
          <wp:inline distT="0" distB="0" distL="0" distR="0" wp14:anchorId="733FF425" wp14:editId="77862381">
            <wp:extent cx="5686425" cy="3533775"/>
            <wp:effectExtent l="0" t="0" r="9525" b="9525"/>
            <wp:docPr id="20" name="Graf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29EFE6" w14:textId="77777777" w:rsidR="00D21CC6" w:rsidRPr="001F5897" w:rsidRDefault="00D21CC6" w:rsidP="00D21CC6">
      <w:pPr>
        <w:jc w:val="center"/>
        <w:rPr>
          <w:b/>
          <w:sz w:val="28"/>
          <w:szCs w:val="28"/>
          <w:highlight w:val="yellow"/>
        </w:rPr>
      </w:pPr>
      <w:bookmarkStart w:id="23" w:name="_Toc412466397"/>
    </w:p>
    <w:p w14:paraId="5CE5272A" w14:textId="77777777" w:rsidR="00D21CC6" w:rsidRPr="001F5897" w:rsidRDefault="00D21CC6" w:rsidP="00D21CC6">
      <w:pPr>
        <w:jc w:val="center"/>
        <w:rPr>
          <w:b/>
          <w:sz w:val="28"/>
          <w:szCs w:val="28"/>
        </w:rPr>
      </w:pPr>
      <w:r w:rsidRPr="001F5897">
        <w:rPr>
          <w:b/>
          <w:sz w:val="28"/>
          <w:szCs w:val="28"/>
        </w:rPr>
        <w:t>7. Prognosis of the future development in the field of legalisation of the proceeds of criminal activity and terrorist financing</w:t>
      </w:r>
      <w:bookmarkEnd w:id="23"/>
    </w:p>
    <w:p w14:paraId="5E1C6394" w14:textId="77777777" w:rsidR="00D21CC6" w:rsidRPr="001F5897" w:rsidRDefault="00D21CC6" w:rsidP="00D21CC6">
      <w:pPr>
        <w:rPr>
          <w:rFonts w:eastAsiaTheme="minorHAnsi"/>
        </w:rPr>
      </w:pPr>
    </w:p>
    <w:p w14:paraId="0224FF22" w14:textId="77777777" w:rsidR="00D21CC6" w:rsidRPr="001F5897" w:rsidRDefault="00D21CC6" w:rsidP="00D21CC6">
      <w:pPr>
        <w:ind w:firstLine="708"/>
        <w:rPr>
          <w:rFonts w:eastAsiaTheme="minorHAnsi"/>
          <w:sz w:val="24"/>
          <w:szCs w:val="24"/>
        </w:rPr>
      </w:pPr>
      <w:r w:rsidRPr="001F5897">
        <w:rPr>
          <w:rFonts w:eastAsiaTheme="minorHAnsi"/>
          <w:sz w:val="24"/>
          <w:szCs w:val="24"/>
        </w:rPr>
        <w:t>On the basis of experience, systematic analytical verification of particular UTRs, performed check-up activities, and on the basis of generalization of the knowledge and information obtained from national or foreign subjects in recent period, it is possible to predict specific future development in the field of legalization of proceeds of criminal activity and terrorist financing, which is presented in the following points:</w:t>
      </w:r>
    </w:p>
    <w:p w14:paraId="605C7113" w14:textId="77777777" w:rsidR="00D21CC6" w:rsidRPr="001F5897" w:rsidRDefault="00D21CC6" w:rsidP="00D21CC6">
      <w:pPr>
        <w:rPr>
          <w:rFonts w:eastAsiaTheme="minorHAnsi"/>
        </w:rPr>
      </w:pPr>
    </w:p>
    <w:p w14:paraId="556AC8CF" w14:textId="77777777" w:rsidR="00D21CC6" w:rsidRPr="001F5897" w:rsidRDefault="00D21CC6" w:rsidP="00D21CC6">
      <w:pPr>
        <w:numPr>
          <w:ilvl w:val="0"/>
          <w:numId w:val="8"/>
        </w:numPr>
        <w:spacing w:after="160" w:line="259" w:lineRule="auto"/>
        <w:ind w:left="714" w:hanging="357"/>
        <w:contextualSpacing/>
        <w:jc w:val="left"/>
        <w:rPr>
          <w:rFonts w:eastAsiaTheme="minorHAnsi" w:cstheme="minorBidi"/>
          <w:sz w:val="24"/>
          <w:szCs w:val="24"/>
          <w:lang w:eastAsia="en-US"/>
        </w:rPr>
      </w:pPr>
      <w:r w:rsidRPr="001F5897">
        <w:rPr>
          <w:rFonts w:eastAsiaTheme="minorHAnsi" w:cstheme="minorBidi"/>
          <w:sz w:val="24"/>
          <w:szCs w:val="24"/>
          <w:lang w:eastAsia="en-US"/>
        </w:rPr>
        <w:t xml:space="preserve">Increase of unusual transactions, which were made in favour of companies seated in tax heavens, or companies incorporated in the European Union´s countries with property interconnection with off shore companies, and increase of unusual transactions, which suggest tax regulations infringe in cases of illegal claim and utilize of VAT tax refund and in cases of intentionally decrease of tax base. </w:t>
      </w:r>
    </w:p>
    <w:p w14:paraId="7CA6950C" w14:textId="77777777" w:rsidR="00D21CC6" w:rsidRPr="001F5897" w:rsidRDefault="00D21CC6" w:rsidP="00D21CC6">
      <w:pPr>
        <w:numPr>
          <w:ilvl w:val="0"/>
          <w:numId w:val="8"/>
        </w:numPr>
        <w:spacing w:after="160" w:line="259" w:lineRule="auto"/>
        <w:ind w:left="714" w:hanging="357"/>
        <w:contextualSpacing/>
        <w:jc w:val="left"/>
        <w:rPr>
          <w:rFonts w:eastAsiaTheme="minorHAnsi" w:cstheme="minorBidi"/>
          <w:sz w:val="24"/>
          <w:szCs w:val="24"/>
          <w:lang w:eastAsia="en-US"/>
        </w:rPr>
      </w:pPr>
      <w:r w:rsidRPr="001F5897">
        <w:rPr>
          <w:rFonts w:eastAsiaTheme="minorHAnsi" w:cstheme="minorBidi"/>
          <w:sz w:val="24"/>
          <w:szCs w:val="24"/>
          <w:lang w:eastAsia="en-US"/>
        </w:rPr>
        <w:t xml:space="preserve">Due to the fact, that the currency Bitcoin is not a national currency neither in the European Union, nor in another countries, and this currency doesn´t come under national regulations -  it means, that neither European, nor Slovak legislation regulates and determine activities related to using of virtual currency, and due to the fact that this currency, as well as transactions made by this currency are not under supervision and regulation of the National Bank of Slovakia, it is possible to predict an increase of UTRs concerning virtual currency issue in 2015, because it is not possible to verify origin of this kind of funds trustworthy, which can results in the increase of potential misuse of virtual currency for purposes of legalization of proceed of criminal activity. </w:t>
      </w:r>
    </w:p>
    <w:p w14:paraId="1DB0E420" w14:textId="77777777" w:rsidR="00D21CC6" w:rsidRPr="001F5897" w:rsidRDefault="00D21CC6" w:rsidP="00D21CC6">
      <w:pPr>
        <w:numPr>
          <w:ilvl w:val="0"/>
          <w:numId w:val="8"/>
        </w:numPr>
        <w:spacing w:after="160" w:line="259" w:lineRule="auto"/>
        <w:ind w:left="714" w:hanging="357"/>
        <w:contextualSpacing/>
        <w:jc w:val="left"/>
        <w:rPr>
          <w:rFonts w:eastAsiaTheme="minorHAnsi" w:cstheme="minorBidi"/>
          <w:sz w:val="24"/>
          <w:szCs w:val="24"/>
          <w:lang w:eastAsia="en-US"/>
        </w:rPr>
      </w:pPr>
      <w:r w:rsidRPr="001F5897">
        <w:rPr>
          <w:rFonts w:eastAsiaTheme="minorHAnsi" w:cstheme="minorBidi"/>
          <w:sz w:val="24"/>
          <w:szCs w:val="24"/>
          <w:lang w:eastAsia="en-US"/>
        </w:rPr>
        <w:t xml:space="preserve">Improvement of ability of organization and flexibility of perpetrators at locating (on international level) of “dirty” money which originate mainly from computer fraud and </w:t>
      </w:r>
      <w:r w:rsidRPr="001F5897">
        <w:rPr>
          <w:rFonts w:eastAsiaTheme="minorHAnsi" w:cstheme="minorBidi"/>
          <w:sz w:val="24"/>
          <w:szCs w:val="24"/>
          <w:lang w:eastAsia="en-US"/>
        </w:rPr>
        <w:lastRenderedPageBreak/>
        <w:t>phishing. These perpetrators are often members of national minority communities, so there is a real assumption that several of these groups cooperate together.</w:t>
      </w:r>
    </w:p>
    <w:p w14:paraId="262C4F5B" w14:textId="77777777" w:rsidR="00D21CC6" w:rsidRPr="001F5897" w:rsidRDefault="00D21CC6" w:rsidP="00D21CC6">
      <w:pPr>
        <w:numPr>
          <w:ilvl w:val="0"/>
          <w:numId w:val="8"/>
        </w:numPr>
        <w:spacing w:after="120" w:line="259" w:lineRule="auto"/>
        <w:ind w:left="714" w:hanging="357"/>
        <w:contextualSpacing/>
        <w:jc w:val="left"/>
        <w:rPr>
          <w:rFonts w:eastAsiaTheme="minorHAnsi" w:cstheme="minorBidi"/>
          <w:sz w:val="24"/>
          <w:szCs w:val="24"/>
          <w:lang w:eastAsia="en-US"/>
        </w:rPr>
      </w:pPr>
      <w:r w:rsidRPr="001F5897">
        <w:rPr>
          <w:rFonts w:eastAsiaTheme="minorHAnsi" w:cstheme="minorBidi"/>
          <w:sz w:val="24"/>
          <w:szCs w:val="24"/>
          <w:lang w:eastAsia="en-US"/>
        </w:rPr>
        <w:t>Increase of using and involving especially accountants, tax advisors, notaries, advocates, auditors and estate agents in the process of legalization of proceeds of criminal activity,</w:t>
      </w:r>
    </w:p>
    <w:p w14:paraId="0CED2496" w14:textId="77777777" w:rsidR="00D21CC6" w:rsidRPr="001F5897" w:rsidRDefault="00D21CC6" w:rsidP="00D21CC6">
      <w:pPr>
        <w:numPr>
          <w:ilvl w:val="0"/>
          <w:numId w:val="8"/>
        </w:numPr>
        <w:spacing w:after="120" w:line="259" w:lineRule="auto"/>
        <w:ind w:left="714" w:hanging="357"/>
        <w:contextualSpacing/>
        <w:jc w:val="left"/>
        <w:rPr>
          <w:rFonts w:eastAsiaTheme="minorHAnsi" w:cstheme="minorBidi"/>
          <w:sz w:val="24"/>
          <w:szCs w:val="24"/>
          <w:lang w:eastAsia="en-US"/>
        </w:rPr>
      </w:pPr>
      <w:r w:rsidRPr="001F5897">
        <w:rPr>
          <w:rFonts w:eastAsiaTheme="minorHAnsi" w:cstheme="minorBidi"/>
          <w:sz w:val="24"/>
          <w:szCs w:val="24"/>
          <w:lang w:eastAsia="en-US"/>
        </w:rPr>
        <w:t>Intentional conclusion of life insurance policies and other savings products outside the banking system and locating of funds (proceeds of criminal activity) in that mentioned products.</w:t>
      </w:r>
    </w:p>
    <w:p w14:paraId="00A14FC2" w14:textId="77777777" w:rsidR="00D21CC6" w:rsidRPr="001F5897" w:rsidRDefault="00D21CC6" w:rsidP="00D21CC6">
      <w:pPr>
        <w:rPr>
          <w:rFonts w:eastAsiaTheme="minorHAnsi" w:cstheme="minorBidi"/>
          <w:sz w:val="24"/>
          <w:szCs w:val="24"/>
          <w:lang w:eastAsia="en-US"/>
        </w:rPr>
      </w:pPr>
    </w:p>
    <w:p w14:paraId="477D80F8" w14:textId="77777777" w:rsidR="00D21CC6" w:rsidRPr="001F5897" w:rsidRDefault="00D21CC6" w:rsidP="00D21CC6">
      <w:pPr>
        <w:jc w:val="center"/>
        <w:rPr>
          <w:b/>
          <w:bCs/>
          <w:sz w:val="24"/>
          <w:szCs w:val="24"/>
        </w:rPr>
      </w:pPr>
      <w:r w:rsidRPr="001F5897">
        <w:rPr>
          <w:b/>
          <w:sz w:val="28"/>
          <w:szCs w:val="28"/>
        </w:rPr>
        <w:t xml:space="preserve">8. Evaluation of the cooperation with the national counterparts </w:t>
      </w:r>
    </w:p>
    <w:p w14:paraId="34C98C7A" w14:textId="77777777" w:rsidR="00D21CC6" w:rsidRPr="001F5897" w:rsidRDefault="00D21CC6" w:rsidP="00D21CC6">
      <w:pPr>
        <w:spacing w:after="120"/>
        <w:jc w:val="center"/>
        <w:rPr>
          <w:bCs/>
          <w:sz w:val="24"/>
          <w:szCs w:val="24"/>
        </w:rPr>
      </w:pPr>
    </w:p>
    <w:p w14:paraId="331EF638" w14:textId="77777777" w:rsidR="00D21CC6" w:rsidRPr="001F5897" w:rsidRDefault="00D21CC6" w:rsidP="00D21CC6">
      <w:pPr>
        <w:ind w:firstLine="709"/>
        <w:rPr>
          <w:sz w:val="24"/>
          <w:szCs w:val="24"/>
        </w:rPr>
      </w:pPr>
      <w:r w:rsidRPr="001F5897">
        <w:rPr>
          <w:sz w:val="24"/>
          <w:szCs w:val="24"/>
        </w:rPr>
        <w:t>Participation and cooperation with our foreign and national partners has a certain share in activity of particular FSJ´s departments, which are carried out on national level as well as on international level. Among mentioned partners are ranked other police units, prosecutor´s office, state or public administration or representatives of obliges entities (mostly banks). Within this cooperation several meetings took place on national or on international level during 2014.</w:t>
      </w:r>
    </w:p>
    <w:p w14:paraId="45D88A46" w14:textId="77777777" w:rsidR="00D21CC6" w:rsidRPr="001F5897" w:rsidRDefault="00D21CC6" w:rsidP="00D21CC6">
      <w:pPr>
        <w:ind w:firstLine="709"/>
        <w:rPr>
          <w:sz w:val="24"/>
          <w:szCs w:val="24"/>
        </w:rPr>
      </w:pPr>
    </w:p>
    <w:p w14:paraId="1F3D87A8" w14:textId="77777777" w:rsidR="00D21CC6" w:rsidRPr="001F5897" w:rsidRDefault="00D21CC6" w:rsidP="00D21CC6">
      <w:pPr>
        <w:rPr>
          <w:sz w:val="24"/>
          <w:szCs w:val="24"/>
        </w:rPr>
      </w:pPr>
      <w:r w:rsidRPr="001F5897">
        <w:rPr>
          <w:sz w:val="24"/>
          <w:szCs w:val="24"/>
        </w:rPr>
        <w:tab/>
        <w:t>In order to eliminate application problems, FSJ´s representatives attended a workshop of prosecutors of regional and district Prosecutor´s Offices specialized in executing of non-criminal cases on 04.11.2014. This workshop was a meeting with an informative nature, which created a space for harmonizing opinion´s division with the possibility of direct confrontation applying on the next meeting (should last 2 days), which is preliminarily planned in May 2015.</w:t>
      </w:r>
    </w:p>
    <w:p w14:paraId="168A04E9" w14:textId="77777777" w:rsidR="00D21CC6" w:rsidRPr="001F5897" w:rsidRDefault="00D21CC6" w:rsidP="00D21CC6">
      <w:pPr>
        <w:jc w:val="center"/>
        <w:rPr>
          <w:rFonts w:eastAsia="Calibri"/>
          <w:sz w:val="24"/>
          <w:szCs w:val="24"/>
          <w:lang w:eastAsia="en-US"/>
        </w:rPr>
      </w:pPr>
    </w:p>
    <w:p w14:paraId="47EB200F" w14:textId="77777777" w:rsidR="00D21CC6" w:rsidRPr="001F5897" w:rsidRDefault="00D21CC6" w:rsidP="00D21CC6">
      <w:pPr>
        <w:rPr>
          <w:rFonts w:eastAsia="Calibri"/>
          <w:sz w:val="24"/>
          <w:szCs w:val="24"/>
          <w:lang w:eastAsia="en-US"/>
        </w:rPr>
      </w:pPr>
      <w:r w:rsidRPr="001F5897">
        <w:rPr>
          <w:rFonts w:eastAsia="Calibri"/>
          <w:sz w:val="24"/>
          <w:szCs w:val="24"/>
          <w:lang w:eastAsia="en-US"/>
        </w:rPr>
        <w:tab/>
        <w:t>In order to eliminate the legalization of the proceeds of criminal activity and terrorist financing and with a view to simplifying, facilitating and to accelerate the way of communication between FSJ and the banks and for reduction of administration related to the manual input of documents and UTRs into the information system of FSJ, after several negotiations FSJ prepared a draft agreement on methods of mutual delivery of documents in electronic form via electronic register of FSJ between the Ministry of Interior of the Slovak Republic and banks (hereinafter referred to as “Agreement”). The completion of the approval process established the legal framework for the realization of the Agreement. In the second half of 2014, the minor technical errors, that could disrupt or make impossible to realize communication between the Agreement parties.</w:t>
      </w:r>
    </w:p>
    <w:p w14:paraId="2239A8E2" w14:textId="77777777" w:rsidR="00D21CC6" w:rsidRPr="001F5897" w:rsidRDefault="00D21CC6" w:rsidP="00D21CC6">
      <w:pPr>
        <w:rPr>
          <w:rFonts w:eastAsia="Calibri"/>
          <w:sz w:val="24"/>
          <w:szCs w:val="24"/>
          <w:lang w:eastAsia="en-US"/>
        </w:rPr>
      </w:pPr>
    </w:p>
    <w:p w14:paraId="191099E1" w14:textId="77777777" w:rsidR="00D21CC6" w:rsidRPr="001F5897" w:rsidRDefault="00D21CC6" w:rsidP="00D21CC6">
      <w:pPr>
        <w:rPr>
          <w:rFonts w:eastAsia="Calibri"/>
          <w:sz w:val="24"/>
          <w:szCs w:val="24"/>
          <w:lang w:eastAsia="en-US"/>
        </w:rPr>
      </w:pPr>
      <w:r w:rsidRPr="001F5897">
        <w:rPr>
          <w:rFonts w:eastAsia="Calibri"/>
          <w:sz w:val="24"/>
          <w:szCs w:val="24"/>
          <w:lang w:eastAsia="en-US"/>
        </w:rPr>
        <w:tab/>
        <w:t xml:space="preserve">Valuable contribution within the framework of enforcement of recommendations and requirements for combating the legalization of the proceeds of criminal activity and terrorist financing constitutes also the activity of the Interdepartmental expert coordinating authority on combating criminality (hereinafter referred to as “MEKO”), which has the status of focal point for liaison with abroad. As the coordinating authority MEKO, on its own needs or on initiatives from Ministries and other public authorities, on requests and notifications from non-governmental and international authorities and organizations, establish the multidiscipline integrated groups of experts for the purpose of long-term monitoring and address the issues related to combating criminality. </w:t>
      </w:r>
    </w:p>
    <w:p w14:paraId="2CEC13EC" w14:textId="77777777" w:rsidR="00D21CC6" w:rsidRPr="001F5897" w:rsidRDefault="00D21CC6" w:rsidP="00D21CC6">
      <w:pPr>
        <w:rPr>
          <w:rFonts w:eastAsia="Calibri"/>
          <w:sz w:val="24"/>
          <w:szCs w:val="24"/>
          <w:lang w:eastAsia="en-US"/>
        </w:rPr>
      </w:pPr>
    </w:p>
    <w:p w14:paraId="77C50DA3" w14:textId="77777777" w:rsidR="00D21CC6" w:rsidRPr="001F5897" w:rsidRDefault="00D21CC6" w:rsidP="00D21CC6">
      <w:pPr>
        <w:rPr>
          <w:rFonts w:eastAsia="Calibri"/>
          <w:sz w:val="24"/>
          <w:szCs w:val="24"/>
          <w:lang w:eastAsia="en-US"/>
        </w:rPr>
      </w:pPr>
      <w:r w:rsidRPr="001F5897">
        <w:rPr>
          <w:rFonts w:eastAsia="Calibri"/>
          <w:sz w:val="24"/>
          <w:szCs w:val="24"/>
          <w:lang w:eastAsia="en-US"/>
        </w:rPr>
        <w:t xml:space="preserve"> </w:t>
      </w:r>
      <w:r w:rsidRPr="001F5897">
        <w:rPr>
          <w:rFonts w:eastAsia="Calibri"/>
          <w:sz w:val="24"/>
          <w:szCs w:val="24"/>
          <w:lang w:eastAsia="en-US"/>
        </w:rPr>
        <w:tab/>
        <w:t xml:space="preserve">One of these multidiscipline integrated groups of experts (hereinafter referred to as “MISO”) is group focused on combating the legalization of proceeds from criminal activity and terrorist financing (hereinafter referred to as “MISO LP”), which is chaired by the Head </w:t>
      </w:r>
      <w:r w:rsidRPr="001F5897">
        <w:rPr>
          <w:rFonts w:eastAsia="Calibri"/>
          <w:sz w:val="24"/>
          <w:szCs w:val="24"/>
          <w:lang w:eastAsia="en-US"/>
        </w:rPr>
        <w:lastRenderedPageBreak/>
        <w:t xml:space="preserve">of FSJ. Members of the respective group are representatives of the National Bank of Slovakia, of the Ministry of Finance of the Slovak Republic, of the Financial Directorate of the Slovak Republic, of the General Prosecutor´s office of the Slovak Republic, of the Ministry of Justice of the Slovak Republic, of the Anti-Terrorism Unit of Police Force Presidium, of the National Anti-Drug Unit of the National Criminal Agency of Police Force Presidium, of the Bureau of Criminal Police of the Police Force Presidium and of the Slovak Information Service. </w:t>
      </w:r>
    </w:p>
    <w:p w14:paraId="5DA91C4D" w14:textId="77777777" w:rsidR="00D21CC6" w:rsidRPr="001F5897" w:rsidRDefault="00D21CC6" w:rsidP="00D21CC6">
      <w:pPr>
        <w:rPr>
          <w:rFonts w:eastAsia="Calibri"/>
          <w:sz w:val="24"/>
          <w:szCs w:val="24"/>
          <w:lang w:eastAsia="en-US"/>
        </w:rPr>
      </w:pPr>
      <w:r w:rsidRPr="001F5897">
        <w:rPr>
          <w:rFonts w:eastAsia="Calibri"/>
          <w:sz w:val="24"/>
          <w:szCs w:val="24"/>
          <w:lang w:eastAsia="en-US"/>
        </w:rPr>
        <w:t xml:space="preserve"> </w:t>
      </w:r>
    </w:p>
    <w:p w14:paraId="3BAF9A01" w14:textId="77777777" w:rsidR="00D21CC6" w:rsidRPr="001F5897" w:rsidRDefault="00D21CC6" w:rsidP="00D21CC6">
      <w:pPr>
        <w:rPr>
          <w:rFonts w:eastAsia="Calibri"/>
          <w:sz w:val="24"/>
          <w:szCs w:val="24"/>
          <w:lang w:eastAsia="en-US"/>
        </w:rPr>
      </w:pPr>
      <w:r w:rsidRPr="001F5897">
        <w:rPr>
          <w:rFonts w:eastAsia="Calibri"/>
          <w:sz w:val="24"/>
          <w:szCs w:val="24"/>
          <w:lang w:eastAsia="en-US"/>
        </w:rPr>
        <w:tab/>
        <w:t>In 2014 2 ordinary MISO LP´s meetings took place. Both meetings were focused on addressing the National Risk Assessment (hereinafter referred to as “NRA”). The realization of NRA was determined by the forthcoming 5</w:t>
      </w:r>
      <w:r w:rsidRPr="001F5897">
        <w:rPr>
          <w:rFonts w:eastAsia="Calibri"/>
          <w:sz w:val="24"/>
          <w:szCs w:val="24"/>
          <w:vertAlign w:val="superscript"/>
          <w:lang w:eastAsia="en-US"/>
        </w:rPr>
        <w:t>th</w:t>
      </w:r>
      <w:r w:rsidRPr="001F5897">
        <w:rPr>
          <w:rFonts w:eastAsia="Calibri"/>
          <w:sz w:val="24"/>
          <w:szCs w:val="24"/>
          <w:lang w:eastAsia="en-US"/>
        </w:rPr>
        <w:t xml:space="preserve"> assessment visits performed by Council of Europe´s Committee of Experts MONEYVAL. The realization of NRA is one of the obligatory conditions for performance of the 5</w:t>
      </w:r>
      <w:r w:rsidRPr="001F5897">
        <w:rPr>
          <w:rFonts w:eastAsia="Calibri"/>
          <w:sz w:val="24"/>
          <w:szCs w:val="24"/>
          <w:vertAlign w:val="superscript"/>
          <w:lang w:eastAsia="en-US"/>
        </w:rPr>
        <w:t>th</w:t>
      </w:r>
      <w:r w:rsidRPr="001F5897">
        <w:rPr>
          <w:rFonts w:eastAsia="Calibri"/>
          <w:sz w:val="24"/>
          <w:szCs w:val="24"/>
          <w:lang w:eastAsia="en-US"/>
        </w:rPr>
        <w:t xml:space="preserve"> assessment of the country by the Council of Europe´s Committee Experts on the Evaluation of Anti-Money Laundering Measures and the Financing of Terrorism</w:t>
      </w:r>
      <w:r w:rsidRPr="001F5897">
        <w:rPr>
          <w:sz w:val="24"/>
          <w:szCs w:val="24"/>
        </w:rPr>
        <w:t xml:space="preserve"> </w:t>
      </w:r>
      <w:r w:rsidRPr="001F5897">
        <w:rPr>
          <w:rFonts w:eastAsia="Calibri"/>
          <w:sz w:val="24"/>
          <w:szCs w:val="24"/>
          <w:lang w:eastAsia="en-US"/>
        </w:rPr>
        <w:t xml:space="preserve">MONEYVAL. One of the basic attributes, which was addressed in connection with NRA, was in particular the manner of its funding. </w:t>
      </w:r>
    </w:p>
    <w:p w14:paraId="5AB3DEA5" w14:textId="77777777" w:rsidR="00D21CC6" w:rsidRPr="001F5897" w:rsidRDefault="00D21CC6" w:rsidP="00D21CC6">
      <w:pPr>
        <w:rPr>
          <w:rFonts w:eastAsia="Calibri"/>
          <w:sz w:val="24"/>
          <w:szCs w:val="24"/>
          <w:lang w:eastAsia="en-US"/>
        </w:rPr>
      </w:pPr>
    </w:p>
    <w:p w14:paraId="41714851" w14:textId="77777777" w:rsidR="00D21CC6" w:rsidRPr="001F5897" w:rsidRDefault="00D21CC6" w:rsidP="00D21CC6">
      <w:pPr>
        <w:rPr>
          <w:rFonts w:eastAsia="Calibri"/>
          <w:sz w:val="24"/>
          <w:szCs w:val="24"/>
          <w:lang w:eastAsia="en-US"/>
        </w:rPr>
      </w:pPr>
      <w:r w:rsidRPr="001F5897">
        <w:rPr>
          <w:rFonts w:eastAsia="Calibri"/>
          <w:sz w:val="24"/>
          <w:szCs w:val="24"/>
          <w:lang w:eastAsia="en-US"/>
        </w:rPr>
        <w:tab/>
        <w:t>Within the framework of the MISO LP´s meetings the tasks were discussed and subsequently allocated between the government departments</w:t>
      </w:r>
      <w:r w:rsidRPr="001F5897">
        <w:rPr>
          <w:rFonts w:eastAsia="Calibri"/>
          <w:color w:val="C0504D" w:themeColor="accent2"/>
          <w:sz w:val="24"/>
          <w:szCs w:val="24"/>
          <w:lang w:eastAsia="en-US"/>
        </w:rPr>
        <w:t xml:space="preserve"> </w:t>
      </w:r>
      <w:r w:rsidRPr="001F5897">
        <w:rPr>
          <w:rFonts w:eastAsia="Calibri"/>
          <w:sz w:val="24"/>
          <w:szCs w:val="24"/>
          <w:lang w:eastAsia="en-US"/>
        </w:rPr>
        <w:t>with regards to the submission of 2</w:t>
      </w:r>
      <w:r w:rsidRPr="001F5897">
        <w:rPr>
          <w:rFonts w:eastAsia="Calibri"/>
          <w:sz w:val="24"/>
          <w:szCs w:val="24"/>
          <w:vertAlign w:val="superscript"/>
          <w:lang w:eastAsia="en-US"/>
        </w:rPr>
        <w:t>nd</w:t>
      </w:r>
      <w:r w:rsidRPr="001F5897">
        <w:rPr>
          <w:rFonts w:eastAsia="Calibri"/>
          <w:sz w:val="24"/>
          <w:szCs w:val="24"/>
          <w:lang w:eastAsia="en-US"/>
        </w:rPr>
        <w:t xml:space="preserve"> post report within the 4</w:t>
      </w:r>
      <w:r w:rsidRPr="001F5897">
        <w:rPr>
          <w:rFonts w:eastAsia="Calibri"/>
          <w:sz w:val="24"/>
          <w:szCs w:val="24"/>
          <w:vertAlign w:val="superscript"/>
          <w:lang w:eastAsia="en-US"/>
        </w:rPr>
        <w:t>th</w:t>
      </w:r>
      <w:r w:rsidRPr="001F5897">
        <w:rPr>
          <w:rFonts w:eastAsia="Calibri"/>
          <w:sz w:val="24"/>
          <w:szCs w:val="24"/>
          <w:lang w:eastAsia="en-US"/>
        </w:rPr>
        <w:t xml:space="preserve"> assessment visits performed by Council of Europe´s Committee of Experts on the Evaluation of Anti-Money Laundering Measures and the Financing of Terrorism MONEYVAL.  </w:t>
      </w:r>
    </w:p>
    <w:p w14:paraId="31F0263D" w14:textId="77777777" w:rsidR="00D21CC6" w:rsidRPr="001F5897" w:rsidRDefault="00D21CC6" w:rsidP="00D21CC6">
      <w:pPr>
        <w:rPr>
          <w:rFonts w:eastAsia="Calibri"/>
          <w:sz w:val="24"/>
          <w:szCs w:val="24"/>
          <w:lang w:eastAsia="en-US"/>
        </w:rPr>
      </w:pPr>
    </w:p>
    <w:p w14:paraId="050C0704" w14:textId="77777777" w:rsidR="00D21CC6" w:rsidRPr="001F5897" w:rsidRDefault="00D21CC6" w:rsidP="00D21CC6">
      <w:pPr>
        <w:spacing w:after="120"/>
        <w:rPr>
          <w:rFonts w:eastAsia="Calibri"/>
          <w:sz w:val="24"/>
          <w:szCs w:val="24"/>
          <w:lang w:eastAsia="en-US"/>
        </w:rPr>
      </w:pPr>
    </w:p>
    <w:p w14:paraId="3975CABE" w14:textId="77777777" w:rsidR="00D21CC6" w:rsidRPr="00D21CC6" w:rsidRDefault="00D21CC6" w:rsidP="00D21CC6">
      <w:pPr>
        <w:spacing w:after="120"/>
        <w:rPr>
          <w:rFonts w:eastAsia="Calibri"/>
          <w:sz w:val="24"/>
          <w:szCs w:val="24"/>
          <w:lang w:eastAsia="en-US"/>
        </w:rPr>
      </w:pPr>
    </w:p>
    <w:p w14:paraId="3A0A89E9" w14:textId="77777777" w:rsidR="00D21CC6" w:rsidRDefault="00D21CC6" w:rsidP="00D21CC6">
      <w:pPr>
        <w:jc w:val="center"/>
        <w:rPr>
          <w:b/>
          <w:sz w:val="28"/>
          <w:szCs w:val="28"/>
          <w:lang w:eastAsia="en-US"/>
        </w:rPr>
      </w:pPr>
      <w:bookmarkStart w:id="24" w:name="_Toc382129845"/>
      <w:bookmarkStart w:id="25" w:name="_Toc382130007"/>
      <w:bookmarkStart w:id="26" w:name="_Toc382130538"/>
      <w:bookmarkStart w:id="27" w:name="_Toc382141497"/>
      <w:bookmarkStart w:id="28" w:name="_Toc382141694"/>
      <w:bookmarkStart w:id="29" w:name="_Toc412466399"/>
    </w:p>
    <w:p w14:paraId="4159764D" w14:textId="77777777" w:rsidR="00D21CC6" w:rsidRDefault="00D21CC6" w:rsidP="00D21CC6">
      <w:pPr>
        <w:jc w:val="center"/>
        <w:rPr>
          <w:b/>
          <w:sz w:val="28"/>
          <w:szCs w:val="28"/>
          <w:lang w:eastAsia="en-US"/>
        </w:rPr>
      </w:pPr>
    </w:p>
    <w:p w14:paraId="201C4CD4" w14:textId="77777777" w:rsidR="00D21CC6" w:rsidRDefault="00D21CC6" w:rsidP="00D21CC6">
      <w:pPr>
        <w:jc w:val="center"/>
        <w:rPr>
          <w:b/>
          <w:sz w:val="28"/>
          <w:szCs w:val="28"/>
          <w:lang w:eastAsia="en-US"/>
        </w:rPr>
      </w:pPr>
    </w:p>
    <w:p w14:paraId="78BC2738" w14:textId="77777777" w:rsidR="00D21CC6" w:rsidRDefault="00D21CC6" w:rsidP="00D21CC6">
      <w:pPr>
        <w:jc w:val="center"/>
        <w:rPr>
          <w:b/>
          <w:sz w:val="28"/>
          <w:szCs w:val="28"/>
          <w:lang w:eastAsia="en-US"/>
        </w:rPr>
      </w:pPr>
    </w:p>
    <w:p w14:paraId="6539971D" w14:textId="77777777" w:rsidR="00D21CC6" w:rsidRDefault="00D21CC6" w:rsidP="00D21CC6">
      <w:pPr>
        <w:jc w:val="center"/>
        <w:rPr>
          <w:b/>
          <w:sz w:val="28"/>
          <w:szCs w:val="28"/>
          <w:lang w:eastAsia="en-US"/>
        </w:rPr>
      </w:pPr>
    </w:p>
    <w:p w14:paraId="6D671278" w14:textId="77777777" w:rsidR="00D21CC6" w:rsidRDefault="00D21CC6" w:rsidP="00D21CC6">
      <w:pPr>
        <w:jc w:val="center"/>
        <w:rPr>
          <w:b/>
          <w:sz w:val="28"/>
          <w:szCs w:val="28"/>
          <w:lang w:eastAsia="en-US"/>
        </w:rPr>
      </w:pPr>
    </w:p>
    <w:p w14:paraId="263C64C1" w14:textId="77777777" w:rsidR="00D21CC6" w:rsidRDefault="00D21CC6" w:rsidP="00D21CC6">
      <w:pPr>
        <w:jc w:val="center"/>
        <w:rPr>
          <w:b/>
          <w:sz w:val="28"/>
          <w:szCs w:val="28"/>
          <w:lang w:eastAsia="en-US"/>
        </w:rPr>
      </w:pPr>
    </w:p>
    <w:p w14:paraId="75F20DD0" w14:textId="77777777" w:rsidR="00D21CC6" w:rsidRDefault="00D21CC6" w:rsidP="00D21CC6">
      <w:pPr>
        <w:jc w:val="center"/>
        <w:rPr>
          <w:b/>
          <w:sz w:val="28"/>
          <w:szCs w:val="28"/>
          <w:lang w:eastAsia="en-US"/>
        </w:rPr>
      </w:pPr>
    </w:p>
    <w:p w14:paraId="6208CC43" w14:textId="77777777" w:rsidR="00D21CC6" w:rsidRDefault="00D21CC6" w:rsidP="00D21CC6">
      <w:pPr>
        <w:jc w:val="center"/>
        <w:rPr>
          <w:b/>
          <w:sz w:val="28"/>
          <w:szCs w:val="28"/>
          <w:lang w:eastAsia="en-US"/>
        </w:rPr>
      </w:pPr>
    </w:p>
    <w:p w14:paraId="06910F2B" w14:textId="77777777" w:rsidR="00D21CC6" w:rsidRDefault="00D21CC6" w:rsidP="00D21CC6">
      <w:pPr>
        <w:jc w:val="center"/>
        <w:rPr>
          <w:b/>
          <w:sz w:val="28"/>
          <w:szCs w:val="28"/>
          <w:lang w:eastAsia="en-US"/>
        </w:rPr>
      </w:pPr>
    </w:p>
    <w:p w14:paraId="05FF9C85" w14:textId="77777777" w:rsidR="00D21CC6" w:rsidRDefault="00D21CC6" w:rsidP="00D21CC6">
      <w:pPr>
        <w:jc w:val="center"/>
        <w:rPr>
          <w:b/>
          <w:sz w:val="28"/>
          <w:szCs w:val="28"/>
          <w:lang w:eastAsia="en-US"/>
        </w:rPr>
      </w:pPr>
    </w:p>
    <w:p w14:paraId="3A246120" w14:textId="77777777" w:rsidR="00D21CC6" w:rsidRDefault="00D21CC6" w:rsidP="00D21CC6">
      <w:pPr>
        <w:jc w:val="center"/>
        <w:rPr>
          <w:b/>
          <w:sz w:val="28"/>
          <w:szCs w:val="28"/>
          <w:lang w:eastAsia="en-US"/>
        </w:rPr>
      </w:pPr>
    </w:p>
    <w:p w14:paraId="20AED50E" w14:textId="77777777" w:rsidR="00D21CC6" w:rsidRDefault="00D21CC6" w:rsidP="00D21CC6">
      <w:pPr>
        <w:jc w:val="center"/>
        <w:rPr>
          <w:b/>
          <w:sz w:val="28"/>
          <w:szCs w:val="28"/>
          <w:lang w:eastAsia="en-US"/>
        </w:rPr>
      </w:pPr>
    </w:p>
    <w:p w14:paraId="6E30380D" w14:textId="77777777" w:rsidR="00D21CC6" w:rsidRDefault="00D21CC6" w:rsidP="00D21CC6">
      <w:pPr>
        <w:jc w:val="center"/>
        <w:rPr>
          <w:b/>
          <w:sz w:val="28"/>
          <w:szCs w:val="28"/>
          <w:lang w:eastAsia="en-US"/>
        </w:rPr>
      </w:pPr>
    </w:p>
    <w:p w14:paraId="4AE32CE1" w14:textId="77777777" w:rsidR="00D21CC6" w:rsidRDefault="00D21CC6" w:rsidP="00D21CC6">
      <w:pPr>
        <w:jc w:val="center"/>
        <w:rPr>
          <w:b/>
          <w:sz w:val="28"/>
          <w:szCs w:val="28"/>
          <w:lang w:eastAsia="en-US"/>
        </w:rPr>
      </w:pPr>
    </w:p>
    <w:p w14:paraId="083D8BA2" w14:textId="77777777" w:rsidR="00D21CC6" w:rsidRDefault="00D21CC6" w:rsidP="00D21CC6">
      <w:pPr>
        <w:jc w:val="center"/>
        <w:rPr>
          <w:b/>
          <w:sz w:val="28"/>
          <w:szCs w:val="28"/>
          <w:lang w:eastAsia="en-US"/>
        </w:rPr>
      </w:pPr>
    </w:p>
    <w:p w14:paraId="3C227BCD" w14:textId="77777777" w:rsidR="00D21CC6" w:rsidRDefault="00D21CC6" w:rsidP="00D21CC6">
      <w:pPr>
        <w:jc w:val="center"/>
        <w:rPr>
          <w:b/>
          <w:sz w:val="28"/>
          <w:szCs w:val="28"/>
          <w:lang w:eastAsia="en-US"/>
        </w:rPr>
      </w:pPr>
    </w:p>
    <w:p w14:paraId="11F438EC" w14:textId="77777777" w:rsidR="00D21CC6" w:rsidRDefault="00D21CC6" w:rsidP="00D21CC6">
      <w:pPr>
        <w:jc w:val="center"/>
        <w:rPr>
          <w:b/>
          <w:sz w:val="28"/>
          <w:szCs w:val="28"/>
          <w:lang w:eastAsia="en-US"/>
        </w:rPr>
      </w:pPr>
    </w:p>
    <w:p w14:paraId="61387A38" w14:textId="77777777" w:rsidR="00D21CC6" w:rsidRDefault="00D21CC6" w:rsidP="00D21CC6">
      <w:pPr>
        <w:jc w:val="center"/>
        <w:rPr>
          <w:b/>
          <w:sz w:val="28"/>
          <w:szCs w:val="28"/>
          <w:lang w:eastAsia="en-US"/>
        </w:rPr>
      </w:pPr>
    </w:p>
    <w:p w14:paraId="4EB590EE" w14:textId="77777777" w:rsidR="00D21CC6" w:rsidRDefault="00D21CC6" w:rsidP="00D21CC6">
      <w:pPr>
        <w:jc w:val="center"/>
        <w:rPr>
          <w:b/>
          <w:sz w:val="28"/>
          <w:szCs w:val="28"/>
          <w:lang w:eastAsia="en-US"/>
        </w:rPr>
      </w:pPr>
    </w:p>
    <w:p w14:paraId="2685EB74" w14:textId="77777777" w:rsidR="00D21CC6" w:rsidRDefault="00D21CC6" w:rsidP="00D21CC6">
      <w:pPr>
        <w:jc w:val="center"/>
        <w:rPr>
          <w:b/>
          <w:sz w:val="28"/>
          <w:szCs w:val="28"/>
          <w:lang w:eastAsia="en-US"/>
        </w:rPr>
      </w:pPr>
    </w:p>
    <w:p w14:paraId="7AA697AE" w14:textId="77777777" w:rsidR="00D21CC6" w:rsidRDefault="00D21CC6" w:rsidP="00D21CC6">
      <w:pPr>
        <w:jc w:val="center"/>
        <w:rPr>
          <w:b/>
          <w:sz w:val="28"/>
          <w:szCs w:val="28"/>
          <w:lang w:eastAsia="en-US"/>
        </w:rPr>
      </w:pPr>
    </w:p>
    <w:p w14:paraId="76EFADE4" w14:textId="77777777" w:rsidR="00D21CC6" w:rsidRPr="00D21CC6" w:rsidRDefault="00D21CC6" w:rsidP="00D21CC6">
      <w:pPr>
        <w:jc w:val="center"/>
        <w:rPr>
          <w:b/>
          <w:sz w:val="28"/>
          <w:szCs w:val="28"/>
          <w:lang w:eastAsia="en-US"/>
        </w:rPr>
      </w:pPr>
      <w:r w:rsidRPr="00D21CC6">
        <w:rPr>
          <w:b/>
          <w:sz w:val="28"/>
          <w:szCs w:val="28"/>
          <w:lang w:eastAsia="en-US"/>
        </w:rPr>
        <w:lastRenderedPageBreak/>
        <w:t>CONTACT DETAILS</w:t>
      </w:r>
      <w:bookmarkEnd w:id="24"/>
      <w:bookmarkEnd w:id="25"/>
      <w:bookmarkEnd w:id="26"/>
      <w:bookmarkEnd w:id="27"/>
      <w:bookmarkEnd w:id="28"/>
      <w:bookmarkEnd w:id="29"/>
    </w:p>
    <w:p w14:paraId="63EEFFFC" w14:textId="77777777" w:rsidR="00D21CC6" w:rsidRPr="00D21CC6" w:rsidRDefault="00D21CC6" w:rsidP="00D21CC6">
      <w:pPr>
        <w:spacing w:after="120" w:line="276" w:lineRule="auto"/>
        <w:rPr>
          <w:rFonts w:eastAsia="Calibri"/>
          <w:b/>
          <w:bCs/>
          <w:sz w:val="24"/>
          <w:szCs w:val="24"/>
          <w:lang w:eastAsia="en-US"/>
        </w:rPr>
      </w:pPr>
    </w:p>
    <w:p w14:paraId="62DF3FA3" w14:textId="77777777" w:rsidR="00D21CC6" w:rsidRPr="00D21CC6" w:rsidRDefault="00D21CC6" w:rsidP="00D21CC6">
      <w:pPr>
        <w:spacing w:after="120" w:line="276" w:lineRule="auto"/>
        <w:rPr>
          <w:rFonts w:eastAsia="Calibri"/>
          <w:b/>
          <w:bCs/>
          <w:sz w:val="24"/>
          <w:szCs w:val="24"/>
          <w:lang w:eastAsia="en-US"/>
        </w:rPr>
      </w:pPr>
    </w:p>
    <w:p w14:paraId="299928EE" w14:textId="77777777" w:rsidR="00D21CC6" w:rsidRPr="00D21CC6" w:rsidRDefault="00D21CC6" w:rsidP="00D21CC6">
      <w:pPr>
        <w:spacing w:after="120" w:line="276" w:lineRule="auto"/>
        <w:rPr>
          <w:rFonts w:eastAsia="Calibri"/>
          <w:b/>
          <w:bCs/>
          <w:sz w:val="24"/>
          <w:szCs w:val="24"/>
          <w:lang w:eastAsia="en-US"/>
        </w:rPr>
      </w:pPr>
      <w:r w:rsidRPr="00D21CC6">
        <w:rPr>
          <w:rFonts w:eastAsia="Calibri"/>
          <w:b/>
          <w:bCs/>
          <w:sz w:val="24"/>
          <w:szCs w:val="24"/>
          <w:lang w:eastAsia="en-US"/>
        </w:rPr>
        <w:t>ADDRESS</w:t>
      </w:r>
    </w:p>
    <w:p w14:paraId="73C40EB2" w14:textId="77777777" w:rsidR="00D21CC6" w:rsidRPr="00D21CC6" w:rsidRDefault="00D21CC6" w:rsidP="00D21CC6">
      <w:pPr>
        <w:spacing w:after="120" w:line="276" w:lineRule="auto"/>
        <w:rPr>
          <w:rFonts w:eastAsia="Calibri"/>
          <w:sz w:val="24"/>
          <w:szCs w:val="24"/>
          <w:lang w:eastAsia="en-US"/>
        </w:rPr>
      </w:pPr>
      <w:r w:rsidRPr="00D21CC6">
        <w:rPr>
          <w:rFonts w:eastAsia="Calibri"/>
          <w:sz w:val="24"/>
          <w:szCs w:val="24"/>
          <w:lang w:eastAsia="en-US"/>
        </w:rPr>
        <w:t>Ministry of Interior of the Slovak Republic</w:t>
      </w:r>
    </w:p>
    <w:p w14:paraId="4374B382" w14:textId="77777777" w:rsidR="00D21CC6" w:rsidRPr="00D21CC6" w:rsidRDefault="00D21CC6" w:rsidP="00D21CC6">
      <w:pPr>
        <w:spacing w:after="120" w:line="276" w:lineRule="auto"/>
        <w:rPr>
          <w:rFonts w:eastAsia="Calibri"/>
          <w:sz w:val="24"/>
          <w:szCs w:val="24"/>
          <w:lang w:eastAsia="en-US"/>
        </w:rPr>
      </w:pPr>
      <w:r w:rsidRPr="00D21CC6">
        <w:rPr>
          <w:rFonts w:eastAsia="Calibri"/>
          <w:sz w:val="24"/>
          <w:szCs w:val="24"/>
          <w:lang w:eastAsia="en-US"/>
        </w:rPr>
        <w:t>Police Force Presidium</w:t>
      </w:r>
    </w:p>
    <w:p w14:paraId="6F174AD4" w14:textId="77777777" w:rsidR="00D21CC6" w:rsidRPr="00D21CC6" w:rsidRDefault="00D21CC6" w:rsidP="00D21CC6">
      <w:pPr>
        <w:spacing w:after="120" w:line="276" w:lineRule="auto"/>
        <w:rPr>
          <w:rFonts w:eastAsia="Calibri"/>
          <w:sz w:val="24"/>
          <w:szCs w:val="24"/>
          <w:lang w:eastAsia="en-US"/>
        </w:rPr>
      </w:pPr>
      <w:r w:rsidRPr="00D21CC6">
        <w:rPr>
          <w:rFonts w:eastAsia="Calibri"/>
          <w:sz w:val="24"/>
          <w:szCs w:val="24"/>
          <w:lang w:eastAsia="en-US"/>
        </w:rPr>
        <w:t>National Criminal Agency</w:t>
      </w:r>
    </w:p>
    <w:p w14:paraId="6B9EA797" w14:textId="77777777" w:rsidR="00D21CC6" w:rsidRPr="00D21CC6" w:rsidRDefault="00D21CC6" w:rsidP="00D21CC6">
      <w:pPr>
        <w:spacing w:after="120" w:line="276" w:lineRule="auto"/>
        <w:rPr>
          <w:rFonts w:eastAsia="Calibri"/>
          <w:sz w:val="24"/>
          <w:szCs w:val="24"/>
          <w:lang w:eastAsia="en-US"/>
        </w:rPr>
      </w:pPr>
      <w:r w:rsidRPr="00D21CC6">
        <w:rPr>
          <w:rFonts w:eastAsia="Calibri"/>
          <w:sz w:val="24"/>
          <w:szCs w:val="24"/>
          <w:lang w:eastAsia="en-US"/>
        </w:rPr>
        <w:t>Financial Intelligence Unit</w:t>
      </w:r>
    </w:p>
    <w:p w14:paraId="4090405F" w14:textId="77777777" w:rsidR="00D21CC6" w:rsidRPr="00D21CC6" w:rsidRDefault="00D21CC6" w:rsidP="00D21CC6">
      <w:pPr>
        <w:spacing w:after="120" w:line="276" w:lineRule="auto"/>
        <w:rPr>
          <w:rFonts w:eastAsia="Calibri"/>
          <w:sz w:val="24"/>
          <w:szCs w:val="24"/>
          <w:lang w:eastAsia="en-US"/>
        </w:rPr>
      </w:pPr>
      <w:proofErr w:type="spellStart"/>
      <w:r w:rsidRPr="00D21CC6">
        <w:rPr>
          <w:rFonts w:eastAsia="Calibri"/>
          <w:sz w:val="24"/>
          <w:szCs w:val="24"/>
          <w:lang w:eastAsia="en-US"/>
        </w:rPr>
        <w:t>Pribinova</w:t>
      </w:r>
      <w:proofErr w:type="spellEnd"/>
      <w:r w:rsidRPr="00D21CC6">
        <w:rPr>
          <w:rFonts w:eastAsia="Calibri"/>
          <w:sz w:val="24"/>
          <w:szCs w:val="24"/>
          <w:lang w:eastAsia="en-US"/>
        </w:rPr>
        <w:t xml:space="preserve"> 2</w:t>
      </w:r>
    </w:p>
    <w:p w14:paraId="7902415E" w14:textId="77777777" w:rsidR="00D21CC6" w:rsidRPr="00D21CC6" w:rsidRDefault="00D21CC6" w:rsidP="00D21CC6">
      <w:pPr>
        <w:spacing w:after="120" w:line="276" w:lineRule="auto"/>
        <w:rPr>
          <w:rFonts w:eastAsia="Calibri"/>
          <w:sz w:val="24"/>
          <w:szCs w:val="24"/>
          <w:lang w:eastAsia="en-US"/>
        </w:rPr>
      </w:pPr>
      <w:r w:rsidRPr="00D21CC6">
        <w:rPr>
          <w:rFonts w:eastAsia="Calibri"/>
          <w:sz w:val="24"/>
          <w:szCs w:val="24"/>
          <w:lang w:eastAsia="en-US"/>
        </w:rPr>
        <w:t>812 72 Bratislava</w:t>
      </w:r>
    </w:p>
    <w:p w14:paraId="6692B094" w14:textId="77777777" w:rsidR="00D21CC6" w:rsidRPr="00D21CC6" w:rsidRDefault="00D21CC6" w:rsidP="00D21CC6">
      <w:pPr>
        <w:spacing w:after="120" w:line="276" w:lineRule="auto"/>
        <w:rPr>
          <w:rFonts w:eastAsia="Calibri"/>
          <w:sz w:val="24"/>
          <w:szCs w:val="24"/>
          <w:lang w:eastAsia="en-US"/>
        </w:rPr>
      </w:pPr>
    </w:p>
    <w:p w14:paraId="248CFA27" w14:textId="77777777" w:rsidR="00D21CC6" w:rsidRPr="00D21CC6" w:rsidRDefault="00D21CC6" w:rsidP="00D21CC6">
      <w:pPr>
        <w:spacing w:after="120" w:line="276" w:lineRule="auto"/>
        <w:rPr>
          <w:rFonts w:eastAsia="Calibri"/>
          <w:sz w:val="24"/>
          <w:szCs w:val="24"/>
          <w:lang w:eastAsia="en-US"/>
        </w:rPr>
      </w:pPr>
    </w:p>
    <w:p w14:paraId="4F658295" w14:textId="77777777" w:rsidR="00D21CC6" w:rsidRPr="00D21CC6" w:rsidRDefault="00D21CC6" w:rsidP="00D21CC6">
      <w:pPr>
        <w:spacing w:after="120" w:line="276" w:lineRule="auto"/>
        <w:rPr>
          <w:rFonts w:eastAsia="Calibri"/>
          <w:b/>
          <w:bCs/>
          <w:sz w:val="24"/>
          <w:szCs w:val="24"/>
          <w:lang w:eastAsia="en-US"/>
        </w:rPr>
      </w:pPr>
      <w:r w:rsidRPr="00D21CC6">
        <w:rPr>
          <w:rFonts w:eastAsia="Calibri"/>
          <w:b/>
          <w:bCs/>
          <w:sz w:val="24"/>
          <w:szCs w:val="24"/>
          <w:lang w:eastAsia="en-US"/>
        </w:rPr>
        <w:t>INTERNET</w:t>
      </w:r>
    </w:p>
    <w:p w14:paraId="044F74DC" w14:textId="77777777" w:rsidR="00D21CC6" w:rsidRPr="00D21CC6" w:rsidRDefault="00D21CC6" w:rsidP="00D21CC6">
      <w:pPr>
        <w:spacing w:after="120" w:line="276" w:lineRule="auto"/>
        <w:rPr>
          <w:rFonts w:eastAsia="Calibri"/>
          <w:sz w:val="24"/>
          <w:szCs w:val="24"/>
          <w:lang w:eastAsia="en-US"/>
        </w:rPr>
      </w:pPr>
      <w:proofErr w:type="gramStart"/>
      <w:r w:rsidRPr="00D21CC6">
        <w:rPr>
          <w:rFonts w:eastAsia="Calibri"/>
          <w:sz w:val="24"/>
          <w:szCs w:val="24"/>
          <w:lang w:eastAsia="en-US"/>
        </w:rPr>
        <w:t>web</w:t>
      </w:r>
      <w:proofErr w:type="gramEnd"/>
      <w:r w:rsidRPr="00D21CC6">
        <w:rPr>
          <w:rFonts w:eastAsia="Calibri"/>
          <w:sz w:val="24"/>
          <w:szCs w:val="24"/>
          <w:lang w:eastAsia="en-US"/>
        </w:rPr>
        <w:t xml:space="preserve">: </w:t>
      </w:r>
      <w:hyperlink r:id="rId22" w:history="1">
        <w:r w:rsidRPr="00D21CC6">
          <w:rPr>
            <w:rFonts w:eastAsia="Calibri"/>
            <w:color w:val="0000FF"/>
            <w:sz w:val="24"/>
            <w:szCs w:val="24"/>
            <w:u w:val="single"/>
            <w:lang w:eastAsia="en-US"/>
          </w:rPr>
          <w:t>www.minv.sk/?financna-policia</w:t>
        </w:r>
      </w:hyperlink>
    </w:p>
    <w:p w14:paraId="7742D085" w14:textId="77777777" w:rsidR="00D21CC6" w:rsidRPr="00D21CC6" w:rsidRDefault="00D21CC6" w:rsidP="00D21CC6">
      <w:pPr>
        <w:spacing w:after="120" w:line="276" w:lineRule="auto"/>
        <w:rPr>
          <w:rFonts w:eastAsia="Calibri"/>
          <w:sz w:val="24"/>
          <w:szCs w:val="24"/>
          <w:lang w:eastAsia="en-US"/>
        </w:rPr>
      </w:pPr>
      <w:proofErr w:type="gramStart"/>
      <w:r w:rsidRPr="00D21CC6">
        <w:rPr>
          <w:rFonts w:eastAsia="Calibri"/>
          <w:sz w:val="24"/>
          <w:szCs w:val="24"/>
          <w:lang w:eastAsia="en-US"/>
        </w:rPr>
        <w:t>e-mail</w:t>
      </w:r>
      <w:proofErr w:type="gramEnd"/>
      <w:r w:rsidRPr="00D21CC6">
        <w:rPr>
          <w:rFonts w:eastAsia="Calibri"/>
          <w:sz w:val="24"/>
          <w:szCs w:val="24"/>
          <w:lang w:eastAsia="en-US"/>
        </w:rPr>
        <w:t xml:space="preserve">: </w:t>
      </w:r>
      <w:hyperlink r:id="rId23" w:history="1">
        <w:r w:rsidRPr="00D21CC6">
          <w:rPr>
            <w:rFonts w:eastAsia="Calibri"/>
            <w:color w:val="0000FF"/>
            <w:sz w:val="24"/>
            <w:szCs w:val="24"/>
            <w:u w:val="single"/>
            <w:lang w:eastAsia="en-US"/>
          </w:rPr>
          <w:t>sjfpsek@minv.sk</w:t>
        </w:r>
      </w:hyperlink>
    </w:p>
    <w:p w14:paraId="59466BC9" w14:textId="77777777" w:rsidR="00D21CC6" w:rsidRPr="00D21CC6" w:rsidRDefault="00D21CC6" w:rsidP="00D21CC6">
      <w:pPr>
        <w:spacing w:after="120" w:line="276" w:lineRule="auto"/>
        <w:rPr>
          <w:rFonts w:eastAsia="Calibri"/>
          <w:sz w:val="24"/>
          <w:szCs w:val="24"/>
          <w:lang w:eastAsia="en-US"/>
        </w:rPr>
      </w:pPr>
    </w:p>
    <w:p w14:paraId="7DA1E664" w14:textId="77777777" w:rsidR="00D21CC6" w:rsidRPr="00D21CC6" w:rsidRDefault="00D21CC6" w:rsidP="00D21CC6">
      <w:pPr>
        <w:spacing w:after="120" w:line="276" w:lineRule="auto"/>
        <w:rPr>
          <w:rFonts w:eastAsia="Calibri"/>
          <w:sz w:val="24"/>
          <w:szCs w:val="24"/>
          <w:lang w:eastAsia="en-US"/>
        </w:rPr>
      </w:pPr>
    </w:p>
    <w:p w14:paraId="47108B81" w14:textId="77777777" w:rsidR="00D21CC6" w:rsidRPr="00D21CC6" w:rsidRDefault="00D21CC6" w:rsidP="00D21CC6">
      <w:pPr>
        <w:spacing w:after="120" w:line="276" w:lineRule="auto"/>
        <w:rPr>
          <w:rFonts w:eastAsia="Calibri"/>
          <w:b/>
          <w:bCs/>
          <w:sz w:val="24"/>
          <w:szCs w:val="24"/>
          <w:lang w:eastAsia="en-US"/>
        </w:rPr>
      </w:pPr>
      <w:r w:rsidRPr="00D21CC6">
        <w:rPr>
          <w:rFonts w:eastAsia="Calibri"/>
          <w:b/>
          <w:bCs/>
          <w:sz w:val="24"/>
          <w:szCs w:val="24"/>
          <w:lang w:eastAsia="en-US"/>
        </w:rPr>
        <w:t>PHONE/FAX</w:t>
      </w:r>
    </w:p>
    <w:p w14:paraId="60C4B365" w14:textId="77777777" w:rsidR="00D21CC6" w:rsidRPr="00D21CC6" w:rsidRDefault="00D21CC6" w:rsidP="00D21CC6">
      <w:pPr>
        <w:spacing w:after="120" w:line="276" w:lineRule="auto"/>
        <w:rPr>
          <w:rFonts w:eastAsia="Calibri"/>
          <w:sz w:val="24"/>
          <w:szCs w:val="24"/>
          <w:lang w:eastAsia="en-US"/>
        </w:rPr>
      </w:pPr>
      <w:proofErr w:type="gramStart"/>
      <w:r w:rsidRPr="00D21CC6">
        <w:rPr>
          <w:rFonts w:eastAsia="Calibri"/>
          <w:sz w:val="24"/>
          <w:szCs w:val="24"/>
          <w:lang w:eastAsia="en-US"/>
        </w:rPr>
        <w:t>phone</w:t>
      </w:r>
      <w:proofErr w:type="gramEnd"/>
      <w:r w:rsidRPr="00D21CC6">
        <w:rPr>
          <w:rFonts w:eastAsia="Calibri"/>
          <w:sz w:val="24"/>
          <w:szCs w:val="24"/>
          <w:lang w:eastAsia="en-US"/>
        </w:rPr>
        <w:t>: 09610/51402</w:t>
      </w:r>
    </w:p>
    <w:p w14:paraId="75231A3B" w14:textId="77777777" w:rsidR="00D21CC6" w:rsidRPr="00D21CC6" w:rsidRDefault="00D21CC6" w:rsidP="00D21CC6">
      <w:pPr>
        <w:tabs>
          <w:tab w:val="left" w:pos="2565"/>
        </w:tabs>
        <w:spacing w:after="120" w:line="276" w:lineRule="auto"/>
        <w:rPr>
          <w:rFonts w:eastAsia="Calibri"/>
          <w:sz w:val="24"/>
          <w:szCs w:val="24"/>
          <w:lang w:eastAsia="en-US"/>
        </w:rPr>
      </w:pPr>
      <w:proofErr w:type="gramStart"/>
      <w:r w:rsidRPr="00D21CC6">
        <w:rPr>
          <w:rFonts w:eastAsia="Calibri"/>
          <w:sz w:val="24"/>
          <w:szCs w:val="24"/>
          <w:lang w:eastAsia="en-US"/>
        </w:rPr>
        <w:t>fax</w:t>
      </w:r>
      <w:proofErr w:type="gramEnd"/>
      <w:r w:rsidRPr="00D21CC6">
        <w:rPr>
          <w:rFonts w:eastAsia="Calibri"/>
          <w:sz w:val="24"/>
          <w:szCs w:val="24"/>
          <w:lang w:eastAsia="en-US"/>
        </w:rPr>
        <w:t>: 09610/59047</w:t>
      </w:r>
      <w:r w:rsidRPr="00D21CC6">
        <w:rPr>
          <w:rFonts w:eastAsia="Calibri"/>
          <w:sz w:val="24"/>
          <w:szCs w:val="24"/>
          <w:lang w:eastAsia="en-US"/>
        </w:rPr>
        <w:tab/>
      </w:r>
    </w:p>
    <w:p w14:paraId="5EB242E4" w14:textId="77777777" w:rsidR="00D21CC6" w:rsidRPr="00D21CC6" w:rsidRDefault="00D21CC6" w:rsidP="00D21CC6">
      <w:pPr>
        <w:spacing w:after="120" w:line="276" w:lineRule="auto"/>
        <w:rPr>
          <w:rFonts w:eastAsia="Calibri"/>
          <w:sz w:val="24"/>
          <w:szCs w:val="24"/>
          <w:lang w:eastAsia="en-US"/>
        </w:rPr>
      </w:pPr>
    </w:p>
    <w:p w14:paraId="77BD0F99" w14:textId="77777777" w:rsidR="00D21CC6" w:rsidRPr="00D21CC6" w:rsidRDefault="00D21CC6" w:rsidP="00D21CC6">
      <w:pPr>
        <w:spacing w:after="120" w:line="276" w:lineRule="auto"/>
        <w:rPr>
          <w:rFonts w:eastAsia="Calibri"/>
          <w:sz w:val="24"/>
          <w:szCs w:val="24"/>
          <w:lang w:eastAsia="en-US"/>
        </w:rPr>
      </w:pPr>
    </w:p>
    <w:p w14:paraId="2B0C5A91" w14:textId="77777777" w:rsidR="00D21CC6" w:rsidRPr="00D21CC6" w:rsidRDefault="00D21CC6" w:rsidP="00D21CC6">
      <w:pPr>
        <w:spacing w:after="120" w:line="276" w:lineRule="auto"/>
        <w:rPr>
          <w:rFonts w:eastAsia="Calibri"/>
          <w:b/>
          <w:bCs/>
          <w:sz w:val="24"/>
          <w:szCs w:val="24"/>
          <w:lang w:eastAsia="en-US"/>
        </w:rPr>
      </w:pPr>
      <w:r w:rsidRPr="00D21CC6">
        <w:rPr>
          <w:rFonts w:eastAsia="Calibri"/>
          <w:b/>
          <w:bCs/>
          <w:sz w:val="24"/>
          <w:szCs w:val="24"/>
          <w:lang w:eastAsia="en-US"/>
        </w:rPr>
        <w:t>CONTACT DETAILS FOR REPORTING OF UNUSUAL TRANSACTION REPORTS</w:t>
      </w:r>
    </w:p>
    <w:p w14:paraId="13FB3B6E" w14:textId="77777777" w:rsidR="00D21CC6" w:rsidRPr="00D21CC6" w:rsidRDefault="00D21CC6" w:rsidP="00D21CC6">
      <w:pPr>
        <w:spacing w:after="120" w:line="276" w:lineRule="auto"/>
        <w:rPr>
          <w:rFonts w:eastAsia="Calibri"/>
          <w:sz w:val="24"/>
          <w:szCs w:val="24"/>
          <w:lang w:eastAsia="en-US"/>
        </w:rPr>
      </w:pPr>
      <w:r w:rsidRPr="00D21CC6">
        <w:rPr>
          <w:rFonts w:eastAsia="Calibri"/>
          <w:sz w:val="24"/>
          <w:szCs w:val="24"/>
          <w:lang w:eastAsia="en-US"/>
        </w:rPr>
        <w:t xml:space="preserve">Personally: </w:t>
      </w:r>
      <w:proofErr w:type="spellStart"/>
      <w:r w:rsidRPr="00D21CC6">
        <w:rPr>
          <w:rFonts w:eastAsia="Calibri"/>
          <w:sz w:val="24"/>
          <w:szCs w:val="24"/>
          <w:lang w:eastAsia="en-US"/>
        </w:rPr>
        <w:t>Račianska</w:t>
      </w:r>
      <w:proofErr w:type="spellEnd"/>
      <w:r w:rsidRPr="00D21CC6">
        <w:rPr>
          <w:rFonts w:eastAsia="Calibri"/>
          <w:sz w:val="24"/>
          <w:szCs w:val="24"/>
          <w:lang w:eastAsia="en-US"/>
        </w:rPr>
        <w:t xml:space="preserve"> 45, 832 02 Bratislava</w:t>
      </w:r>
    </w:p>
    <w:p w14:paraId="28239AC4" w14:textId="77777777" w:rsidR="00D21CC6" w:rsidRPr="00D21CC6" w:rsidRDefault="00D21CC6" w:rsidP="00D21CC6">
      <w:pPr>
        <w:spacing w:after="120" w:line="276" w:lineRule="auto"/>
        <w:rPr>
          <w:rFonts w:eastAsia="Calibri"/>
          <w:sz w:val="24"/>
          <w:szCs w:val="24"/>
          <w:lang w:eastAsia="en-US"/>
        </w:rPr>
      </w:pPr>
      <w:r w:rsidRPr="00D21CC6">
        <w:rPr>
          <w:rFonts w:eastAsia="Calibri"/>
          <w:sz w:val="24"/>
          <w:szCs w:val="24"/>
          <w:lang w:eastAsia="en-US"/>
        </w:rPr>
        <w:t xml:space="preserve">By post: </w:t>
      </w:r>
      <w:proofErr w:type="spellStart"/>
      <w:r w:rsidRPr="00D21CC6">
        <w:rPr>
          <w:rFonts w:eastAsia="Calibri"/>
          <w:sz w:val="24"/>
          <w:szCs w:val="24"/>
          <w:lang w:eastAsia="en-US"/>
        </w:rPr>
        <w:t>Finančná</w:t>
      </w:r>
      <w:proofErr w:type="spellEnd"/>
      <w:r w:rsidRPr="00D21CC6">
        <w:rPr>
          <w:rFonts w:eastAsia="Calibri"/>
          <w:sz w:val="24"/>
          <w:szCs w:val="24"/>
          <w:lang w:eastAsia="en-US"/>
        </w:rPr>
        <w:t xml:space="preserve"> </w:t>
      </w:r>
      <w:proofErr w:type="spellStart"/>
      <w:r w:rsidRPr="00D21CC6">
        <w:rPr>
          <w:rFonts w:eastAsia="Calibri"/>
          <w:sz w:val="24"/>
          <w:szCs w:val="24"/>
          <w:lang w:eastAsia="en-US"/>
        </w:rPr>
        <w:t>spravodajská</w:t>
      </w:r>
      <w:proofErr w:type="spellEnd"/>
      <w:r w:rsidRPr="00D21CC6">
        <w:rPr>
          <w:rFonts w:eastAsia="Calibri"/>
          <w:sz w:val="24"/>
          <w:szCs w:val="24"/>
          <w:lang w:eastAsia="en-US"/>
        </w:rPr>
        <w:t xml:space="preserve"> </w:t>
      </w:r>
      <w:proofErr w:type="spellStart"/>
      <w:r w:rsidRPr="00D21CC6">
        <w:rPr>
          <w:rFonts w:eastAsia="Calibri"/>
          <w:sz w:val="24"/>
          <w:szCs w:val="24"/>
          <w:lang w:eastAsia="en-US"/>
        </w:rPr>
        <w:t>jednotka</w:t>
      </w:r>
      <w:proofErr w:type="spellEnd"/>
      <w:r w:rsidRPr="00D21CC6">
        <w:rPr>
          <w:rFonts w:eastAsia="Calibri"/>
          <w:sz w:val="24"/>
          <w:szCs w:val="24"/>
          <w:lang w:eastAsia="en-US"/>
        </w:rPr>
        <w:t xml:space="preserve">, </w:t>
      </w:r>
      <w:proofErr w:type="spellStart"/>
      <w:r w:rsidRPr="00D21CC6">
        <w:rPr>
          <w:rFonts w:eastAsia="Calibri"/>
          <w:sz w:val="24"/>
          <w:szCs w:val="24"/>
          <w:lang w:eastAsia="en-US"/>
        </w:rPr>
        <w:t>Pribinova</w:t>
      </w:r>
      <w:proofErr w:type="spellEnd"/>
      <w:r w:rsidRPr="00D21CC6">
        <w:rPr>
          <w:rFonts w:eastAsia="Calibri"/>
          <w:sz w:val="24"/>
          <w:szCs w:val="24"/>
          <w:lang w:eastAsia="en-US"/>
        </w:rPr>
        <w:t xml:space="preserve"> 2, 812 72 Bratislava</w:t>
      </w:r>
    </w:p>
    <w:p w14:paraId="78F526B1" w14:textId="77777777" w:rsidR="00D21CC6" w:rsidRPr="00D21CC6" w:rsidRDefault="00D21CC6" w:rsidP="00D21CC6">
      <w:pPr>
        <w:spacing w:after="120" w:line="276" w:lineRule="auto"/>
        <w:rPr>
          <w:rFonts w:eastAsia="Calibri"/>
          <w:sz w:val="24"/>
          <w:szCs w:val="24"/>
          <w:lang w:eastAsia="en-US"/>
        </w:rPr>
      </w:pPr>
      <w:r w:rsidRPr="00D21CC6">
        <w:rPr>
          <w:rFonts w:eastAsia="Calibri"/>
          <w:sz w:val="24"/>
          <w:szCs w:val="24"/>
          <w:lang w:eastAsia="en-US"/>
        </w:rPr>
        <w:t xml:space="preserve">Electronically: </w:t>
      </w:r>
      <w:hyperlink r:id="rId24" w:history="1">
        <w:r w:rsidRPr="00D21CC6">
          <w:rPr>
            <w:rFonts w:eastAsia="Calibri"/>
            <w:color w:val="0000FF"/>
            <w:sz w:val="24"/>
            <w:szCs w:val="24"/>
            <w:u w:val="single"/>
            <w:lang w:eastAsia="en-US"/>
          </w:rPr>
          <w:t>sjfpnoo@minv.sk</w:t>
        </w:r>
      </w:hyperlink>
    </w:p>
    <w:p w14:paraId="6FDA5E2B" w14:textId="77777777" w:rsidR="00D21CC6" w:rsidRPr="00D21CC6" w:rsidRDefault="00D21CC6" w:rsidP="00D21CC6">
      <w:pPr>
        <w:spacing w:after="120" w:line="276" w:lineRule="auto"/>
        <w:rPr>
          <w:rFonts w:eastAsia="Calibri"/>
          <w:sz w:val="24"/>
          <w:szCs w:val="24"/>
          <w:lang w:eastAsia="en-US"/>
        </w:rPr>
      </w:pPr>
      <w:r w:rsidRPr="00D21CC6">
        <w:rPr>
          <w:rFonts w:eastAsia="Calibri"/>
          <w:sz w:val="24"/>
          <w:szCs w:val="24"/>
          <w:lang w:eastAsia="en-US"/>
        </w:rPr>
        <w:t>Phone: 09610/51419</w:t>
      </w:r>
    </w:p>
    <w:p w14:paraId="275B79DB" w14:textId="77777777" w:rsidR="00D21CC6" w:rsidRPr="00D21CC6" w:rsidRDefault="00D21CC6" w:rsidP="00D21CC6">
      <w:pPr>
        <w:spacing w:after="120" w:line="276" w:lineRule="auto"/>
        <w:rPr>
          <w:rFonts w:eastAsia="Calibri"/>
          <w:sz w:val="24"/>
          <w:szCs w:val="24"/>
          <w:lang w:eastAsia="en-US"/>
        </w:rPr>
      </w:pPr>
      <w:r w:rsidRPr="00D21CC6">
        <w:rPr>
          <w:rFonts w:eastAsia="Calibri"/>
          <w:sz w:val="24"/>
          <w:szCs w:val="24"/>
          <w:lang w:eastAsia="en-US"/>
        </w:rPr>
        <w:t>Fax: 09610/59047</w:t>
      </w:r>
    </w:p>
    <w:p w14:paraId="7B5E7F20" w14:textId="77777777" w:rsidR="00D21CC6" w:rsidRPr="00D21CC6" w:rsidRDefault="00D21CC6" w:rsidP="00D21CC6"/>
    <w:p w14:paraId="6B10FB7F" w14:textId="77777777" w:rsidR="00E222DA" w:rsidRPr="00E222DA" w:rsidRDefault="00E222DA" w:rsidP="00E222DA">
      <w:pPr>
        <w:spacing w:after="120"/>
        <w:rPr>
          <w:rFonts w:eastAsia="Calibri"/>
          <w:lang w:eastAsia="en-US"/>
        </w:rPr>
      </w:pPr>
    </w:p>
    <w:p w14:paraId="3ECD52FA" w14:textId="77777777" w:rsidR="00E222DA" w:rsidRDefault="00E222DA"/>
    <w:p w14:paraId="65F52838" w14:textId="77777777" w:rsidR="00E222DA" w:rsidRDefault="00E222DA"/>
    <w:p w14:paraId="0914DFA9" w14:textId="77777777" w:rsidR="00E222DA" w:rsidRDefault="00E222DA"/>
    <w:sectPr w:rsidR="00E222DA" w:rsidSect="00E222D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7FD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65C16" w14:textId="77777777" w:rsidR="00461C65" w:rsidRDefault="00461C65" w:rsidP="00B712B6">
      <w:r>
        <w:separator/>
      </w:r>
    </w:p>
  </w:endnote>
  <w:endnote w:type="continuationSeparator" w:id="0">
    <w:p w14:paraId="1CFDE989" w14:textId="77777777" w:rsidR="00461C65" w:rsidRDefault="00461C65" w:rsidP="00B7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default"/>
  </w:font>
  <w:font w:name="Times">
    <w:panose1 w:val="02020603050405020304"/>
    <w:charset w:val="EE"/>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010697"/>
      <w:docPartObj>
        <w:docPartGallery w:val="Page Numbers (Bottom of Page)"/>
        <w:docPartUnique/>
      </w:docPartObj>
    </w:sdtPr>
    <w:sdtContent>
      <w:p w14:paraId="39269008" w14:textId="77777777" w:rsidR="003C161E" w:rsidRDefault="003C161E">
        <w:pPr>
          <w:pStyle w:val="Pta"/>
        </w:pPr>
        <w:r>
          <w:rPr>
            <w:rFonts w:asciiTheme="majorHAnsi" w:eastAsiaTheme="majorEastAsia" w:hAnsiTheme="majorHAnsi" w:cstheme="majorBidi"/>
            <w:noProof/>
            <w:sz w:val="28"/>
            <w:szCs w:val="28"/>
            <w:lang w:val="sk-SK"/>
          </w:rPr>
          <mc:AlternateContent>
            <mc:Choice Requires="wps">
              <w:drawing>
                <wp:anchor distT="0" distB="0" distL="114300" distR="114300" simplePos="0" relativeHeight="251659264" behindDoc="0" locked="0" layoutInCell="1" allowOverlap="1" wp14:anchorId="65AFEBF2" wp14:editId="28FB7D21">
                  <wp:simplePos x="0" y="0"/>
                  <wp:positionH relativeFrom="rightMargin">
                    <wp:align>center</wp:align>
                  </wp:positionH>
                  <wp:positionV relativeFrom="bottomMargin">
                    <wp:align>center</wp:align>
                  </wp:positionV>
                  <wp:extent cx="512445" cy="441325"/>
                  <wp:effectExtent l="0" t="0" r="1905" b="0"/>
                  <wp:wrapNone/>
                  <wp:docPr id="6" name="Vývojový diagram: alternatívny proc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76E3D66" w14:textId="77777777" w:rsidR="003C161E" w:rsidRDefault="003C161E">
                              <w:pPr>
                                <w:pStyle w:val="Pta"/>
                                <w:pBdr>
                                  <w:top w:val="single" w:sz="12" w:space="1" w:color="9BBB59" w:themeColor="accent3"/>
                                  <w:bottom w:val="single" w:sz="48" w:space="1" w:color="9BBB59" w:themeColor="accent3"/>
                                </w:pBdr>
                                <w:jc w:val="center"/>
                                <w:rPr>
                                  <w:sz w:val="28"/>
                                  <w:szCs w:val="28"/>
                                </w:rPr>
                              </w:pPr>
                              <w:r>
                                <w:rPr>
                                  <w:sz w:val="22"/>
                                  <w:szCs w:val="22"/>
                                </w:rPr>
                                <w:fldChar w:fldCharType="begin"/>
                              </w:r>
                              <w:r>
                                <w:instrText>PAGE    \* MERGEFORMAT</w:instrText>
                              </w:r>
                              <w:r>
                                <w:rPr>
                                  <w:sz w:val="22"/>
                                  <w:szCs w:val="22"/>
                                </w:rPr>
                                <w:fldChar w:fldCharType="separate"/>
                              </w:r>
                              <w:r w:rsidR="00D27D22" w:rsidRPr="00D27D22">
                                <w:rPr>
                                  <w:noProof/>
                                  <w:sz w:val="28"/>
                                  <w:szCs w:val="28"/>
                                </w:rPr>
                                <w:t>34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6" o:spid="_x0000_s1029"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" filled="f" fillcolor="#5c83b4" stroked="f" strokecolor="#737373">
                  <v:textbox>
                    <w:txbxContent>
                      <w:p w14:paraId="376E3D66" w14:textId="77777777" w:rsidR="003C161E" w:rsidRDefault="003C161E">
                        <w:pPr>
                          <w:pStyle w:val="Pta"/>
                          <w:pBdr>
                            <w:top w:val="single" w:sz="12" w:space="1" w:color="9BBB59" w:themeColor="accent3"/>
                            <w:bottom w:val="single" w:sz="48" w:space="1" w:color="9BBB59" w:themeColor="accent3"/>
                          </w:pBdr>
                          <w:jc w:val="center"/>
                          <w:rPr>
                            <w:sz w:val="28"/>
                            <w:szCs w:val="28"/>
                          </w:rPr>
                        </w:pPr>
                        <w:r>
                          <w:rPr>
                            <w:sz w:val="22"/>
                            <w:szCs w:val="22"/>
                          </w:rPr>
                          <w:fldChar w:fldCharType="begin"/>
                        </w:r>
                        <w:r>
                          <w:instrText>PAGE    \* MERGEFORMAT</w:instrText>
                        </w:r>
                        <w:r>
                          <w:rPr>
                            <w:sz w:val="22"/>
                            <w:szCs w:val="22"/>
                          </w:rPr>
                          <w:fldChar w:fldCharType="separate"/>
                        </w:r>
                        <w:r w:rsidR="00D27D22" w:rsidRPr="00D27D22">
                          <w:rPr>
                            <w:noProof/>
                            <w:sz w:val="28"/>
                            <w:szCs w:val="28"/>
                          </w:rPr>
                          <w:t>34</w:t>
                        </w:r>
                        <w:r>
                          <w:rPr>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D75A" w14:textId="77777777" w:rsidR="003C161E" w:rsidRPr="00DF28F5" w:rsidRDefault="003C161E" w:rsidP="00D21CC6">
    <w:pPr>
      <w:tabs>
        <w:tab w:val="center" w:pos="851"/>
        <w:tab w:val="center" w:pos="7513"/>
      </w:tabs>
      <w:spacing w:after="120"/>
      <w:rPr>
        <w:bCs/>
        <w:sz w:val="24"/>
        <w:szCs w:val="24"/>
        <w:u w:val="single"/>
      </w:rPr>
    </w:pPr>
    <w:r>
      <w:rPr>
        <w:bCs/>
        <w:sz w:val="24"/>
        <w:szCs w:val="24"/>
        <w:u w:val="single"/>
      </w:rPr>
      <w:t>Submitter of Material</w:t>
    </w:r>
    <w:r w:rsidRPr="00DF28F5">
      <w:rPr>
        <w:bCs/>
        <w:sz w:val="24"/>
        <w:szCs w:val="24"/>
        <w:u w:val="single"/>
      </w:rPr>
      <w:t>:</w:t>
    </w:r>
    <w:r w:rsidRPr="00A92705">
      <w:rPr>
        <w:bCs/>
        <w:sz w:val="24"/>
        <w:szCs w:val="24"/>
      </w:rPr>
      <w:tab/>
    </w:r>
    <w:r>
      <w:rPr>
        <w:bCs/>
        <w:sz w:val="24"/>
        <w:szCs w:val="24"/>
        <w:u w:val="single"/>
      </w:rPr>
      <w:t>Material Includes</w:t>
    </w:r>
    <w:r w:rsidRPr="00DF28F5">
      <w:rPr>
        <w:bCs/>
        <w:sz w:val="24"/>
        <w:szCs w:val="24"/>
        <w:u w:val="single"/>
      </w:rPr>
      <w:t>:</w:t>
    </w:r>
  </w:p>
  <w:p w14:paraId="5BC972E2" w14:textId="77777777" w:rsidR="003C161E" w:rsidRPr="00DF28F5" w:rsidRDefault="003C161E" w:rsidP="00D21CC6">
    <w:pPr>
      <w:tabs>
        <w:tab w:val="center" w:pos="851"/>
        <w:tab w:val="center" w:pos="7513"/>
      </w:tabs>
      <w:spacing w:after="120"/>
      <w:rPr>
        <w:bCs/>
        <w:sz w:val="24"/>
        <w:szCs w:val="24"/>
      </w:rPr>
    </w:pPr>
    <w:r>
      <w:rPr>
        <w:bCs/>
        <w:sz w:val="24"/>
        <w:szCs w:val="24"/>
      </w:rPr>
      <w:tab/>
    </w:r>
    <w:proofErr w:type="spellStart"/>
    <w:r w:rsidRPr="00DF28F5">
      <w:rPr>
        <w:bCs/>
        <w:sz w:val="24"/>
        <w:szCs w:val="24"/>
      </w:rPr>
      <w:t>Ján</w:t>
    </w:r>
    <w:proofErr w:type="spellEnd"/>
    <w:r w:rsidRPr="00DF28F5">
      <w:rPr>
        <w:bCs/>
        <w:sz w:val="24"/>
        <w:szCs w:val="24"/>
      </w:rPr>
      <w:t xml:space="preserve"> </w:t>
    </w:r>
    <w:proofErr w:type="spellStart"/>
    <w:r w:rsidRPr="00DF28F5">
      <w:rPr>
        <w:bCs/>
        <w:sz w:val="24"/>
        <w:szCs w:val="24"/>
      </w:rPr>
      <w:t>Rapavý</w:t>
    </w:r>
    <w:proofErr w:type="spellEnd"/>
    <w:r w:rsidRPr="00DF28F5">
      <w:rPr>
        <w:bCs/>
        <w:sz w:val="24"/>
        <w:szCs w:val="24"/>
      </w:rPr>
      <w:tab/>
    </w:r>
    <w:r>
      <w:rPr>
        <w:bCs/>
        <w:sz w:val="24"/>
        <w:szCs w:val="24"/>
      </w:rPr>
      <w:t>information regarding activities</w:t>
    </w:r>
    <w:r w:rsidRPr="00DF28F5">
      <w:rPr>
        <w:bCs/>
        <w:sz w:val="24"/>
        <w:szCs w:val="24"/>
      </w:rPr>
      <w:t xml:space="preserve"> </w:t>
    </w:r>
  </w:p>
  <w:p w14:paraId="5A49241D" w14:textId="77777777" w:rsidR="003C161E" w:rsidRPr="00DF28F5" w:rsidRDefault="003C161E" w:rsidP="00D21CC6">
    <w:pPr>
      <w:tabs>
        <w:tab w:val="center" w:pos="851"/>
        <w:tab w:val="center" w:pos="7513"/>
      </w:tabs>
      <w:spacing w:after="120"/>
      <w:rPr>
        <w:bCs/>
        <w:sz w:val="24"/>
        <w:szCs w:val="24"/>
      </w:rPr>
    </w:pPr>
    <w:r>
      <w:rPr>
        <w:bCs/>
        <w:sz w:val="24"/>
        <w:szCs w:val="24"/>
      </w:rPr>
      <w:tab/>
      <w:t>Head</w:t>
    </w:r>
    <w:r>
      <w:rPr>
        <w:bCs/>
        <w:sz w:val="24"/>
        <w:szCs w:val="24"/>
      </w:rPr>
      <w:tab/>
      <w:t>and results of</w:t>
    </w:r>
    <w:r w:rsidRPr="00DF28F5">
      <w:rPr>
        <w:bCs/>
        <w:sz w:val="24"/>
        <w:szCs w:val="24"/>
      </w:rPr>
      <w:t xml:space="preserve"> FSJ </w:t>
    </w:r>
    <w:r>
      <w:rPr>
        <w:bCs/>
        <w:sz w:val="24"/>
        <w:szCs w:val="24"/>
      </w:rPr>
      <w:t>in</w:t>
    </w:r>
    <w:r w:rsidRPr="00DF28F5">
      <w:rPr>
        <w:bCs/>
        <w:sz w:val="24"/>
        <w:szCs w:val="24"/>
      </w:rPr>
      <w:t xml:space="preserve"> 2014</w:t>
    </w:r>
  </w:p>
  <w:p w14:paraId="42FB4879" w14:textId="77777777" w:rsidR="003C161E" w:rsidRDefault="003C161E" w:rsidP="00D21CC6">
    <w:pPr>
      <w:tabs>
        <w:tab w:val="center" w:pos="851"/>
        <w:tab w:val="center" w:pos="7513"/>
      </w:tabs>
      <w:spacing w:after="120"/>
      <w:jc w:val="center"/>
      <w:rPr>
        <w:bCs/>
        <w:sz w:val="24"/>
        <w:szCs w:val="24"/>
      </w:rPr>
    </w:pPr>
  </w:p>
  <w:p w14:paraId="3D181EED" w14:textId="77777777" w:rsidR="003C161E" w:rsidRDefault="003C161E" w:rsidP="00D21CC6">
    <w:pPr>
      <w:tabs>
        <w:tab w:val="center" w:pos="851"/>
        <w:tab w:val="center" w:pos="7513"/>
      </w:tabs>
      <w:spacing w:after="120"/>
      <w:jc w:val="center"/>
      <w:rPr>
        <w:bCs/>
        <w:sz w:val="24"/>
        <w:szCs w:val="24"/>
      </w:rPr>
    </w:pPr>
  </w:p>
  <w:p w14:paraId="61674330" w14:textId="77777777" w:rsidR="003C161E" w:rsidRDefault="003C161E" w:rsidP="00D21CC6">
    <w:pPr>
      <w:tabs>
        <w:tab w:val="center" w:pos="851"/>
        <w:tab w:val="center" w:pos="7513"/>
      </w:tabs>
      <w:spacing w:after="120"/>
      <w:jc w:val="center"/>
      <w:rPr>
        <w:bCs/>
        <w:sz w:val="24"/>
        <w:szCs w:val="24"/>
      </w:rPr>
    </w:pPr>
  </w:p>
  <w:p w14:paraId="51896127" w14:textId="77777777" w:rsidR="003C161E" w:rsidRDefault="003C161E" w:rsidP="00D21CC6">
    <w:pPr>
      <w:pStyle w:val="Pta"/>
      <w:jc w:val="center"/>
    </w:pPr>
    <w:r>
      <w:rPr>
        <w:bCs/>
        <w:sz w:val="24"/>
        <w:szCs w:val="24"/>
      </w:rPr>
      <w:t>Bratislava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60EF6" w14:textId="77777777" w:rsidR="00461C65" w:rsidRDefault="00461C65" w:rsidP="00B712B6">
      <w:r>
        <w:separator/>
      </w:r>
    </w:p>
  </w:footnote>
  <w:footnote w:type="continuationSeparator" w:id="0">
    <w:p w14:paraId="4C6194F5" w14:textId="77777777" w:rsidR="00461C65" w:rsidRDefault="00461C65" w:rsidP="00B71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3E65F" w14:textId="77777777" w:rsidR="003C161E" w:rsidRDefault="003C161E" w:rsidP="00D21CC6">
    <w:pPr>
      <w:tabs>
        <w:tab w:val="center" w:pos="4962"/>
      </w:tabs>
      <w:autoSpaceDE w:val="0"/>
      <w:autoSpaceDN w:val="0"/>
      <w:adjustRightInd w:val="0"/>
      <w:spacing w:line="340" w:lineRule="exact"/>
      <w:jc w:val="left"/>
      <w:rPr>
        <w:b/>
        <w:sz w:val="28"/>
        <w:szCs w:val="28"/>
      </w:rPr>
    </w:pPr>
    <w:r>
      <w:rPr>
        <w:b/>
        <w:bCs/>
        <w:noProof/>
        <w:sz w:val="28"/>
        <w:szCs w:val="28"/>
        <w:lang w:val="sk-SK"/>
      </w:rPr>
      <w:drawing>
        <wp:anchor distT="0" distB="0" distL="114300" distR="114300" simplePos="0" relativeHeight="251660288" behindDoc="1" locked="0" layoutInCell="1" allowOverlap="1" wp14:anchorId="52FC2923" wp14:editId="2EC30EDD">
          <wp:simplePos x="0" y="0"/>
          <wp:positionH relativeFrom="column">
            <wp:posOffset>9525</wp:posOffset>
          </wp:positionH>
          <wp:positionV relativeFrom="paragraph">
            <wp:posOffset>-200660</wp:posOffset>
          </wp:positionV>
          <wp:extent cx="935355" cy="1104265"/>
          <wp:effectExtent l="0" t="0" r="0" b="635"/>
          <wp:wrapNone/>
          <wp:docPr id="5" name="Obrázok 5" descr="Popis: NA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NA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t>MINISTRY OF INTERIOR OF THE SLOVAK REBUPLIC</w:t>
    </w:r>
  </w:p>
  <w:p w14:paraId="1B3999B7" w14:textId="77777777" w:rsidR="003C161E" w:rsidRDefault="003C161E" w:rsidP="00D21CC6">
    <w:pPr>
      <w:tabs>
        <w:tab w:val="center" w:pos="4962"/>
      </w:tabs>
      <w:spacing w:line="340" w:lineRule="exact"/>
      <w:jc w:val="left"/>
      <w:rPr>
        <w:b/>
        <w:bCs/>
        <w:sz w:val="32"/>
        <w:szCs w:val="24"/>
      </w:rPr>
    </w:pPr>
    <w:r>
      <w:rPr>
        <w:b/>
        <w:bCs/>
        <w:sz w:val="28"/>
        <w:szCs w:val="28"/>
      </w:rPr>
      <w:tab/>
      <w:t>POLICE FORCE PRESIDIUM</w:t>
    </w:r>
  </w:p>
  <w:p w14:paraId="0BCAB4BC" w14:textId="77777777" w:rsidR="003C161E" w:rsidRPr="00D31CFB" w:rsidRDefault="003C161E" w:rsidP="00D21CC6">
    <w:pPr>
      <w:tabs>
        <w:tab w:val="center" w:pos="4962"/>
      </w:tabs>
      <w:spacing w:line="340" w:lineRule="exact"/>
      <w:jc w:val="left"/>
      <w:rPr>
        <w:bCs/>
        <w:sz w:val="32"/>
        <w:szCs w:val="24"/>
      </w:rPr>
    </w:pPr>
    <w:r>
      <w:rPr>
        <w:bCs/>
        <w:sz w:val="28"/>
        <w:szCs w:val="24"/>
      </w:rPr>
      <w:tab/>
      <w:t>National Criminal Agency</w:t>
    </w:r>
  </w:p>
  <w:p w14:paraId="7A844D0F" w14:textId="77777777" w:rsidR="003C161E" w:rsidRDefault="003C161E" w:rsidP="00D21CC6">
    <w:pPr>
      <w:tabs>
        <w:tab w:val="center" w:pos="4962"/>
        <w:tab w:val="right" w:pos="9356"/>
      </w:tabs>
      <w:spacing w:line="340" w:lineRule="exact"/>
      <w:jc w:val="left"/>
      <w:rPr>
        <w:sz w:val="28"/>
        <w:szCs w:val="28"/>
      </w:rPr>
    </w:pPr>
    <w:r>
      <w:rPr>
        <w:sz w:val="28"/>
        <w:szCs w:val="28"/>
      </w:rPr>
      <w:tab/>
      <w:t>Financial Intelligence Unit</w:t>
    </w:r>
  </w:p>
  <w:p w14:paraId="408D4491" w14:textId="77777777" w:rsidR="003C161E" w:rsidRPr="00D31CFB" w:rsidRDefault="003C161E" w:rsidP="00D21CC6">
    <w:pPr>
      <w:pBdr>
        <w:top w:val="single" w:sz="4" w:space="1" w:color="auto"/>
      </w:pBdr>
      <w:tabs>
        <w:tab w:val="right" w:pos="9072"/>
      </w:tabs>
      <w:spacing w:line="340" w:lineRule="exact"/>
      <w:jc w:val="center"/>
      <w:rPr>
        <w:b/>
        <w:sz w:val="28"/>
        <w:szCs w:val="28"/>
      </w:rPr>
    </w:pPr>
    <w:r>
      <w:rPr>
        <w:sz w:val="22"/>
        <w:szCs w:val="22"/>
      </w:rPr>
      <w:t>PPZ-NKA-FSJ-65-014/2015</w:t>
    </w:r>
    <w:r>
      <w:rPr>
        <w:sz w:val="22"/>
        <w:szCs w:val="22"/>
      </w:rPr>
      <w:tab/>
      <w:t>Bratislava 27. 02.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F707C8A"/>
    <w:multiLevelType w:val="hybridMultilevel"/>
    <w:tmpl w:val="0E7AD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A664C00"/>
    <w:multiLevelType w:val="hybridMultilevel"/>
    <w:tmpl w:val="B7A24AAA"/>
    <w:lvl w:ilvl="0" w:tplc="041B0001">
      <w:start w:val="1"/>
      <w:numFmt w:val="bullet"/>
      <w:lvlText w:val=""/>
      <w:lvlJc w:val="left"/>
      <w:pPr>
        <w:ind w:left="787" w:hanging="360"/>
      </w:pPr>
      <w:rPr>
        <w:rFonts w:ascii="Symbol" w:hAnsi="Symbol" w:hint="default"/>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3">
    <w:nsid w:val="3853082B"/>
    <w:multiLevelType w:val="hybridMultilevel"/>
    <w:tmpl w:val="2CA885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36F3F96"/>
    <w:multiLevelType w:val="hybridMultilevel"/>
    <w:tmpl w:val="4B1A944A"/>
    <w:lvl w:ilvl="0" w:tplc="041B0001">
      <w:start w:val="1"/>
      <w:numFmt w:val="bullet"/>
      <w:lvlText w:val=""/>
      <w:lvlJc w:val="left"/>
      <w:pPr>
        <w:ind w:left="720" w:hanging="360"/>
      </w:pPr>
      <w:rPr>
        <w:rFonts w:ascii="Symbol" w:hAnsi="Symbol" w:hint="default"/>
        <w:spacing w:val="20"/>
        <w:position w:val="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FC32349"/>
    <w:multiLevelType w:val="hybridMultilevel"/>
    <w:tmpl w:val="A822CE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6B04DF2"/>
    <w:multiLevelType w:val="hybridMultilevel"/>
    <w:tmpl w:val="11902152"/>
    <w:lvl w:ilvl="0" w:tplc="88E8AD74">
      <w:start w:val="1"/>
      <w:numFmt w:val="bullet"/>
      <w:lvlText w:val=""/>
      <w:lvlJc w:val="left"/>
      <w:pPr>
        <w:tabs>
          <w:tab w:val="num" w:pos="720"/>
        </w:tabs>
        <w:ind w:left="720" w:hanging="360"/>
      </w:pPr>
      <w:rPr>
        <w:rFonts w:ascii="Symbol" w:hAnsi="Symbol" w:hint="default"/>
        <w:sz w:val="20"/>
      </w:rPr>
    </w:lvl>
    <w:lvl w:ilvl="1" w:tplc="D84804B8" w:tentative="1">
      <w:start w:val="1"/>
      <w:numFmt w:val="bullet"/>
      <w:lvlText w:val="o"/>
      <w:lvlJc w:val="left"/>
      <w:pPr>
        <w:tabs>
          <w:tab w:val="num" w:pos="1440"/>
        </w:tabs>
        <w:ind w:left="1440" w:hanging="360"/>
      </w:pPr>
      <w:rPr>
        <w:rFonts w:ascii="Courier New" w:hAnsi="Courier New" w:hint="default"/>
        <w:sz w:val="20"/>
      </w:rPr>
    </w:lvl>
    <w:lvl w:ilvl="2" w:tplc="40D832F4" w:tentative="1">
      <w:start w:val="1"/>
      <w:numFmt w:val="bullet"/>
      <w:lvlText w:val=""/>
      <w:lvlJc w:val="left"/>
      <w:pPr>
        <w:tabs>
          <w:tab w:val="num" w:pos="2160"/>
        </w:tabs>
        <w:ind w:left="2160" w:hanging="360"/>
      </w:pPr>
      <w:rPr>
        <w:rFonts w:ascii="Wingdings" w:hAnsi="Wingdings" w:hint="default"/>
        <w:sz w:val="20"/>
      </w:rPr>
    </w:lvl>
    <w:lvl w:ilvl="3" w:tplc="27D219C6" w:tentative="1">
      <w:start w:val="1"/>
      <w:numFmt w:val="bullet"/>
      <w:lvlText w:val=""/>
      <w:lvlJc w:val="left"/>
      <w:pPr>
        <w:tabs>
          <w:tab w:val="num" w:pos="2880"/>
        </w:tabs>
        <w:ind w:left="2880" w:hanging="360"/>
      </w:pPr>
      <w:rPr>
        <w:rFonts w:ascii="Wingdings" w:hAnsi="Wingdings" w:hint="default"/>
        <w:sz w:val="20"/>
      </w:rPr>
    </w:lvl>
    <w:lvl w:ilvl="4" w:tplc="324CDEBA" w:tentative="1">
      <w:start w:val="1"/>
      <w:numFmt w:val="bullet"/>
      <w:lvlText w:val=""/>
      <w:lvlJc w:val="left"/>
      <w:pPr>
        <w:tabs>
          <w:tab w:val="num" w:pos="3600"/>
        </w:tabs>
        <w:ind w:left="3600" w:hanging="360"/>
      </w:pPr>
      <w:rPr>
        <w:rFonts w:ascii="Wingdings" w:hAnsi="Wingdings" w:hint="default"/>
        <w:sz w:val="20"/>
      </w:rPr>
    </w:lvl>
    <w:lvl w:ilvl="5" w:tplc="1A00E190" w:tentative="1">
      <w:start w:val="1"/>
      <w:numFmt w:val="bullet"/>
      <w:lvlText w:val=""/>
      <w:lvlJc w:val="left"/>
      <w:pPr>
        <w:tabs>
          <w:tab w:val="num" w:pos="4320"/>
        </w:tabs>
        <w:ind w:left="4320" w:hanging="360"/>
      </w:pPr>
      <w:rPr>
        <w:rFonts w:ascii="Wingdings" w:hAnsi="Wingdings" w:hint="default"/>
        <w:sz w:val="20"/>
      </w:rPr>
    </w:lvl>
    <w:lvl w:ilvl="6" w:tplc="D6400974" w:tentative="1">
      <w:start w:val="1"/>
      <w:numFmt w:val="bullet"/>
      <w:lvlText w:val=""/>
      <w:lvlJc w:val="left"/>
      <w:pPr>
        <w:tabs>
          <w:tab w:val="num" w:pos="5040"/>
        </w:tabs>
        <w:ind w:left="5040" w:hanging="360"/>
      </w:pPr>
      <w:rPr>
        <w:rFonts w:ascii="Wingdings" w:hAnsi="Wingdings" w:hint="default"/>
        <w:sz w:val="20"/>
      </w:rPr>
    </w:lvl>
    <w:lvl w:ilvl="7" w:tplc="20FA8A36" w:tentative="1">
      <w:start w:val="1"/>
      <w:numFmt w:val="bullet"/>
      <w:lvlText w:val=""/>
      <w:lvlJc w:val="left"/>
      <w:pPr>
        <w:tabs>
          <w:tab w:val="num" w:pos="5760"/>
        </w:tabs>
        <w:ind w:left="5760" w:hanging="360"/>
      </w:pPr>
      <w:rPr>
        <w:rFonts w:ascii="Wingdings" w:hAnsi="Wingdings" w:hint="default"/>
        <w:sz w:val="20"/>
      </w:rPr>
    </w:lvl>
    <w:lvl w:ilvl="8" w:tplc="D7A42ED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7C6EAD"/>
    <w:multiLevelType w:val="hybridMultilevel"/>
    <w:tmpl w:val="53CE5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7"/>
  </w:num>
  <w:num w:numId="6">
    <w:abstractNumId w:val="6"/>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D FX 8320">
    <w15:presenceInfo w15:providerId="None" w15:userId="AMD FX 8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B6"/>
    <w:rsid w:val="000240DE"/>
    <w:rsid w:val="000A4533"/>
    <w:rsid w:val="000A5069"/>
    <w:rsid w:val="000B34CA"/>
    <w:rsid w:val="000E6F1C"/>
    <w:rsid w:val="000F297F"/>
    <w:rsid w:val="000F55A3"/>
    <w:rsid w:val="001253B5"/>
    <w:rsid w:val="001724FA"/>
    <w:rsid w:val="0018211C"/>
    <w:rsid w:val="001838E9"/>
    <w:rsid w:val="001941AA"/>
    <w:rsid w:val="001A3432"/>
    <w:rsid w:val="001B7C8C"/>
    <w:rsid w:val="001F5897"/>
    <w:rsid w:val="00221DEB"/>
    <w:rsid w:val="00257E98"/>
    <w:rsid w:val="00296BA9"/>
    <w:rsid w:val="002B6454"/>
    <w:rsid w:val="002D3B3F"/>
    <w:rsid w:val="0033779C"/>
    <w:rsid w:val="003C003B"/>
    <w:rsid w:val="003C0811"/>
    <w:rsid w:val="003C161E"/>
    <w:rsid w:val="003C2C52"/>
    <w:rsid w:val="00436C8F"/>
    <w:rsid w:val="0046170E"/>
    <w:rsid w:val="00461C65"/>
    <w:rsid w:val="004B00E8"/>
    <w:rsid w:val="004B2CE2"/>
    <w:rsid w:val="004C6771"/>
    <w:rsid w:val="00507B62"/>
    <w:rsid w:val="005A0D5E"/>
    <w:rsid w:val="005A6E0F"/>
    <w:rsid w:val="005C1077"/>
    <w:rsid w:val="005C23D5"/>
    <w:rsid w:val="005D6B69"/>
    <w:rsid w:val="00631BFE"/>
    <w:rsid w:val="0063713F"/>
    <w:rsid w:val="00641257"/>
    <w:rsid w:val="00654302"/>
    <w:rsid w:val="00663395"/>
    <w:rsid w:val="00682179"/>
    <w:rsid w:val="006C441C"/>
    <w:rsid w:val="00705AD5"/>
    <w:rsid w:val="008032ED"/>
    <w:rsid w:val="00857DD3"/>
    <w:rsid w:val="00892929"/>
    <w:rsid w:val="008A70AF"/>
    <w:rsid w:val="008C42CF"/>
    <w:rsid w:val="00941DE0"/>
    <w:rsid w:val="00966BC3"/>
    <w:rsid w:val="00972252"/>
    <w:rsid w:val="00991C4A"/>
    <w:rsid w:val="00993083"/>
    <w:rsid w:val="009B4464"/>
    <w:rsid w:val="009C6A24"/>
    <w:rsid w:val="009E018C"/>
    <w:rsid w:val="009E5E14"/>
    <w:rsid w:val="00A12B68"/>
    <w:rsid w:val="00A27404"/>
    <w:rsid w:val="00A40724"/>
    <w:rsid w:val="00A41291"/>
    <w:rsid w:val="00A76BF6"/>
    <w:rsid w:val="00A92224"/>
    <w:rsid w:val="00AC2457"/>
    <w:rsid w:val="00AC577A"/>
    <w:rsid w:val="00AD17D1"/>
    <w:rsid w:val="00AE3F65"/>
    <w:rsid w:val="00AF5A35"/>
    <w:rsid w:val="00B20828"/>
    <w:rsid w:val="00B30F09"/>
    <w:rsid w:val="00B4731D"/>
    <w:rsid w:val="00B712B6"/>
    <w:rsid w:val="00BA1472"/>
    <w:rsid w:val="00BC2534"/>
    <w:rsid w:val="00BD4730"/>
    <w:rsid w:val="00C3408F"/>
    <w:rsid w:val="00C4604D"/>
    <w:rsid w:val="00C511F3"/>
    <w:rsid w:val="00C971C1"/>
    <w:rsid w:val="00CC75D5"/>
    <w:rsid w:val="00CF4C82"/>
    <w:rsid w:val="00CF78EE"/>
    <w:rsid w:val="00D0700F"/>
    <w:rsid w:val="00D078A9"/>
    <w:rsid w:val="00D21CC6"/>
    <w:rsid w:val="00D27D22"/>
    <w:rsid w:val="00D358A6"/>
    <w:rsid w:val="00D432A2"/>
    <w:rsid w:val="00D44BF5"/>
    <w:rsid w:val="00D5191E"/>
    <w:rsid w:val="00D709D4"/>
    <w:rsid w:val="00DA3706"/>
    <w:rsid w:val="00E222DA"/>
    <w:rsid w:val="00EC4D7C"/>
    <w:rsid w:val="00EF4D06"/>
    <w:rsid w:val="00F05587"/>
    <w:rsid w:val="00F67480"/>
    <w:rsid w:val="00F8567B"/>
    <w:rsid w:val="00F85A89"/>
    <w:rsid w:val="00FB09E6"/>
    <w:rsid w:val="00FC2686"/>
    <w:rsid w:val="00FD7F48"/>
    <w:rsid w:val="00FE59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12B6"/>
    <w:pPr>
      <w:spacing w:after="0" w:line="240" w:lineRule="auto"/>
      <w:jc w:val="both"/>
    </w:pPr>
    <w:rPr>
      <w:rFonts w:ascii="Times New Roman" w:eastAsia="Times New Roman" w:hAnsi="Times New Roman" w:cs="Times New Roman"/>
      <w:sz w:val="20"/>
      <w:szCs w:val="20"/>
      <w:lang w:val="en-GB"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712B6"/>
    <w:pPr>
      <w:tabs>
        <w:tab w:val="center" w:pos="4536"/>
        <w:tab w:val="right" w:pos="9072"/>
      </w:tabs>
    </w:pPr>
  </w:style>
  <w:style w:type="character" w:customStyle="1" w:styleId="PtaChar">
    <w:name w:val="Päta Char"/>
    <w:basedOn w:val="Predvolenpsmoodseku"/>
    <w:link w:val="Pta"/>
    <w:uiPriority w:val="99"/>
    <w:rsid w:val="00B712B6"/>
    <w:rPr>
      <w:rFonts w:ascii="Times New Roman" w:eastAsia="Times New Roman" w:hAnsi="Times New Roman" w:cs="Times New Roman"/>
      <w:sz w:val="20"/>
      <w:szCs w:val="20"/>
      <w:lang w:eastAsia="sk-SK"/>
    </w:rPr>
  </w:style>
  <w:style w:type="paragraph" w:styleId="Odsekzoznamu">
    <w:name w:val="List Paragraph"/>
    <w:basedOn w:val="Normlny"/>
    <w:qFormat/>
    <w:rsid w:val="00B712B6"/>
    <w:pPr>
      <w:spacing w:after="160" w:line="259" w:lineRule="auto"/>
      <w:ind w:left="720"/>
      <w:contextualSpacing/>
      <w:jc w:val="left"/>
    </w:pPr>
    <w:rPr>
      <w:rFonts w:eastAsiaTheme="minorHAnsi" w:cstheme="minorBidi"/>
      <w:sz w:val="24"/>
      <w:szCs w:val="22"/>
      <w:lang w:eastAsia="en-US"/>
    </w:rPr>
  </w:style>
  <w:style w:type="table" w:customStyle="1" w:styleId="Mriekatabuky3">
    <w:name w:val="Mriežka tabuľky3"/>
    <w:basedOn w:val="Normlnatabuka"/>
    <w:next w:val="Mriekatabuky"/>
    <w:uiPriority w:val="39"/>
    <w:rsid w:val="00B7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zovkapitoly">
    <w:name w:val="Názov kapitoly"/>
    <w:basedOn w:val="Normlny"/>
    <w:next w:val="Normlny"/>
    <w:link w:val="NzovkapitolyChar"/>
    <w:qFormat/>
    <w:rsid w:val="00B712B6"/>
    <w:pPr>
      <w:jc w:val="center"/>
    </w:pPr>
    <w:rPr>
      <w:b/>
      <w:sz w:val="28"/>
      <w:szCs w:val="28"/>
    </w:rPr>
  </w:style>
  <w:style w:type="character" w:customStyle="1" w:styleId="NzovkapitolyChar">
    <w:name w:val="Názov kapitoly Char"/>
    <w:basedOn w:val="Predvolenpsmoodseku"/>
    <w:link w:val="Nzovkapitoly"/>
    <w:rsid w:val="00B712B6"/>
    <w:rPr>
      <w:rFonts w:ascii="Times New Roman" w:eastAsia="Times New Roman" w:hAnsi="Times New Roman" w:cs="Times New Roman"/>
      <w:b/>
      <w:sz w:val="28"/>
      <w:szCs w:val="28"/>
      <w:lang w:eastAsia="sk-SK"/>
    </w:rPr>
  </w:style>
  <w:style w:type="paragraph" w:customStyle="1" w:styleId="Podnadpis">
    <w:name w:val="Podnadpis"/>
    <w:basedOn w:val="Normlny"/>
    <w:next w:val="Normlny"/>
    <w:link w:val="PodnadpisChar"/>
    <w:qFormat/>
    <w:rsid w:val="00B712B6"/>
    <w:pPr>
      <w:jc w:val="center"/>
    </w:pPr>
    <w:rPr>
      <w:rFonts w:eastAsiaTheme="minorHAnsi" w:cstheme="minorBidi"/>
      <w:b/>
      <w:sz w:val="24"/>
      <w:szCs w:val="24"/>
      <w:lang w:eastAsia="en-US"/>
    </w:rPr>
  </w:style>
  <w:style w:type="character" w:customStyle="1" w:styleId="PodnadpisChar">
    <w:name w:val="Podnadpis Char"/>
    <w:basedOn w:val="Predvolenpsmoodseku"/>
    <w:link w:val="Podnadpis"/>
    <w:rsid w:val="00B712B6"/>
    <w:rPr>
      <w:rFonts w:ascii="Times New Roman" w:hAnsi="Times New Roman"/>
      <w:b/>
      <w:sz w:val="24"/>
      <w:szCs w:val="24"/>
    </w:rPr>
  </w:style>
  <w:style w:type="paragraph" w:styleId="Obsah2">
    <w:name w:val="toc 2"/>
    <w:basedOn w:val="Normlny"/>
    <w:next w:val="Normlny"/>
    <w:autoRedefine/>
    <w:uiPriority w:val="39"/>
    <w:unhideWhenUsed/>
    <w:rsid w:val="00B712B6"/>
    <w:pPr>
      <w:spacing w:after="100"/>
      <w:ind w:left="200"/>
    </w:pPr>
  </w:style>
  <w:style w:type="character" w:styleId="Hypertextovprepojenie">
    <w:name w:val="Hyperlink"/>
    <w:basedOn w:val="Predvolenpsmoodseku"/>
    <w:uiPriority w:val="99"/>
    <w:unhideWhenUsed/>
    <w:rsid w:val="00B712B6"/>
    <w:rPr>
      <w:color w:val="0000FF" w:themeColor="hyperlink"/>
      <w:u w:val="single"/>
    </w:rPr>
  </w:style>
  <w:style w:type="paragraph" w:styleId="Obsah1">
    <w:name w:val="toc 1"/>
    <w:basedOn w:val="Normlny"/>
    <w:next w:val="Normlny"/>
    <w:autoRedefine/>
    <w:uiPriority w:val="39"/>
    <w:unhideWhenUsed/>
    <w:rsid w:val="00B712B6"/>
    <w:pPr>
      <w:tabs>
        <w:tab w:val="right" w:leader="dot" w:pos="9062"/>
      </w:tabs>
      <w:spacing w:after="100"/>
    </w:pPr>
    <w:rPr>
      <w:b/>
      <w:noProof/>
      <w:sz w:val="24"/>
    </w:rPr>
  </w:style>
  <w:style w:type="table" w:styleId="Mriekatabuky">
    <w:name w:val="Table Grid"/>
    <w:basedOn w:val="Normlnatabuka"/>
    <w:uiPriority w:val="39"/>
    <w:rsid w:val="00B7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B712B6"/>
    <w:rPr>
      <w:rFonts w:ascii="Tahoma" w:hAnsi="Tahoma" w:cs="Tahoma"/>
      <w:sz w:val="16"/>
      <w:szCs w:val="16"/>
    </w:rPr>
  </w:style>
  <w:style w:type="character" w:customStyle="1" w:styleId="TextbublinyChar">
    <w:name w:val="Text bubliny Char"/>
    <w:basedOn w:val="Predvolenpsmoodseku"/>
    <w:link w:val="Textbubliny"/>
    <w:uiPriority w:val="99"/>
    <w:semiHidden/>
    <w:rsid w:val="00B712B6"/>
    <w:rPr>
      <w:rFonts w:ascii="Tahoma" w:eastAsia="Times New Roman" w:hAnsi="Tahoma" w:cs="Tahoma"/>
      <w:sz w:val="16"/>
      <w:szCs w:val="16"/>
      <w:lang w:eastAsia="sk-SK"/>
    </w:rPr>
  </w:style>
  <w:style w:type="paragraph" w:styleId="Hlavika">
    <w:name w:val="header"/>
    <w:basedOn w:val="Normlny"/>
    <w:link w:val="HlavikaChar"/>
    <w:uiPriority w:val="99"/>
    <w:unhideWhenUsed/>
    <w:rsid w:val="00B712B6"/>
    <w:pPr>
      <w:tabs>
        <w:tab w:val="center" w:pos="4536"/>
        <w:tab w:val="right" w:pos="9072"/>
      </w:tabs>
    </w:pPr>
  </w:style>
  <w:style w:type="character" w:customStyle="1" w:styleId="HlavikaChar">
    <w:name w:val="Hlavička Char"/>
    <w:basedOn w:val="Predvolenpsmoodseku"/>
    <w:link w:val="Hlavika"/>
    <w:uiPriority w:val="99"/>
    <w:rsid w:val="00B712B6"/>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8C42CF"/>
    <w:rPr>
      <w:sz w:val="16"/>
      <w:szCs w:val="16"/>
    </w:rPr>
  </w:style>
  <w:style w:type="paragraph" w:styleId="Textkomentra">
    <w:name w:val="annotation text"/>
    <w:basedOn w:val="Normlny"/>
    <w:link w:val="TextkomentraChar"/>
    <w:uiPriority w:val="99"/>
    <w:semiHidden/>
    <w:unhideWhenUsed/>
    <w:rsid w:val="008C42CF"/>
  </w:style>
  <w:style w:type="character" w:customStyle="1" w:styleId="TextkomentraChar">
    <w:name w:val="Text komentára Char"/>
    <w:basedOn w:val="Predvolenpsmoodseku"/>
    <w:link w:val="Textkomentra"/>
    <w:uiPriority w:val="99"/>
    <w:semiHidden/>
    <w:rsid w:val="008C42C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C42CF"/>
    <w:rPr>
      <w:b/>
      <w:bCs/>
    </w:rPr>
  </w:style>
  <w:style w:type="character" w:customStyle="1" w:styleId="PredmetkomentraChar">
    <w:name w:val="Predmet komentára Char"/>
    <w:basedOn w:val="TextkomentraChar"/>
    <w:link w:val="Predmetkomentra"/>
    <w:uiPriority w:val="99"/>
    <w:semiHidden/>
    <w:rsid w:val="008C42CF"/>
    <w:rPr>
      <w:rFonts w:ascii="Times New Roman" w:eastAsia="Times New Roman" w:hAnsi="Times New Roman" w:cs="Times New Roman"/>
      <w:b/>
      <w:bCs/>
      <w:sz w:val="20"/>
      <w:szCs w:val="20"/>
      <w:lang w:eastAsia="sk-SK"/>
    </w:rPr>
  </w:style>
  <w:style w:type="character" w:customStyle="1" w:styleId="PodnadpisCharChar">
    <w:name w:val="Podnadpis Char Char"/>
    <w:basedOn w:val="Predvolenpsmoodseku"/>
    <w:rsid w:val="001253B5"/>
    <w:rPr>
      <w:rFonts w:ascii="Times New Roman" w:eastAsia="Calibri" w:hAnsi="Times New Roman" w:cs="Times New Roman"/>
      <w:b/>
      <w:sz w:val="24"/>
      <w:szCs w:val="24"/>
      <w:lang w:eastAsia="sk-SK"/>
    </w:rPr>
  </w:style>
  <w:style w:type="paragraph" w:styleId="Normlnywebov">
    <w:name w:val="Normal (Web)"/>
    <w:basedOn w:val="Normlny"/>
    <w:semiHidden/>
    <w:rsid w:val="001253B5"/>
    <w:pPr>
      <w:spacing w:before="100" w:beforeAutospacing="1" w:after="100" w:afterAutospacing="1"/>
      <w:jc w:val="left"/>
    </w:pPr>
    <w:rPr>
      <w:rFonts w:ascii="Arial Unicode MS" w:eastAsia="Arial Unicode MS" w:hAnsi="Arial Unicode MS" w:cs="Arial Unicode MS"/>
      <w:sz w:val="24"/>
      <w:szCs w:val="24"/>
      <w:lang w:val="cs-CZ" w:eastAsia="cs-CZ"/>
    </w:rPr>
  </w:style>
  <w:style w:type="table" w:customStyle="1" w:styleId="Mriekatabuky1">
    <w:name w:val="Mriežka tabuľky1"/>
    <w:basedOn w:val="Normlnatabuka"/>
    <w:next w:val="Mriekatabuky"/>
    <w:uiPriority w:val="39"/>
    <w:rsid w:val="00E22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autoRedefine/>
    <w:rsid w:val="00E222DA"/>
    <w:rPr>
      <w:rFonts w:ascii="Lucida Grande" w:eastAsia="ヒラギノ角ゴ Pro W3" w:hAnsi="Lucida Grande" w:cs="Times New Roman"/>
      <w:color w:val="000000"/>
      <w:szCs w:val="20"/>
      <w:lang w:eastAsia="sk-SK"/>
    </w:rPr>
  </w:style>
  <w:style w:type="character" w:customStyle="1" w:styleId="Hyperlink1">
    <w:name w:val="Hyperlink1"/>
    <w:rsid w:val="00E222DA"/>
    <w:rPr>
      <w:color w:val="0028F9"/>
      <w:sz w:val="22"/>
      <w:u w:val="single"/>
    </w:rPr>
  </w:style>
  <w:style w:type="paragraph" w:customStyle="1" w:styleId="Mriekatabuky2">
    <w:name w:val="Mriežka tabuľky2"/>
    <w:rsid w:val="00E222DA"/>
    <w:pPr>
      <w:spacing w:after="0" w:line="240" w:lineRule="auto"/>
    </w:pPr>
    <w:rPr>
      <w:rFonts w:ascii="Lucida Grande" w:eastAsia="ヒラギノ角ゴ Pro W3" w:hAnsi="Lucida Grande" w:cs="Times New Roman"/>
      <w:color w:val="00000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712B6"/>
    <w:pPr>
      <w:spacing w:after="0" w:line="240" w:lineRule="auto"/>
      <w:jc w:val="both"/>
    </w:pPr>
    <w:rPr>
      <w:rFonts w:ascii="Times New Roman" w:eastAsia="Times New Roman" w:hAnsi="Times New Roman" w:cs="Times New Roman"/>
      <w:sz w:val="20"/>
      <w:szCs w:val="20"/>
      <w:lang w:val="en-GB"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712B6"/>
    <w:pPr>
      <w:tabs>
        <w:tab w:val="center" w:pos="4536"/>
        <w:tab w:val="right" w:pos="9072"/>
      </w:tabs>
    </w:pPr>
  </w:style>
  <w:style w:type="character" w:customStyle="1" w:styleId="PtaChar">
    <w:name w:val="Päta Char"/>
    <w:basedOn w:val="Predvolenpsmoodseku"/>
    <w:link w:val="Pta"/>
    <w:uiPriority w:val="99"/>
    <w:rsid w:val="00B712B6"/>
    <w:rPr>
      <w:rFonts w:ascii="Times New Roman" w:eastAsia="Times New Roman" w:hAnsi="Times New Roman" w:cs="Times New Roman"/>
      <w:sz w:val="20"/>
      <w:szCs w:val="20"/>
      <w:lang w:eastAsia="sk-SK"/>
    </w:rPr>
  </w:style>
  <w:style w:type="paragraph" w:styleId="Odsekzoznamu">
    <w:name w:val="List Paragraph"/>
    <w:basedOn w:val="Normlny"/>
    <w:qFormat/>
    <w:rsid w:val="00B712B6"/>
    <w:pPr>
      <w:spacing w:after="160" w:line="259" w:lineRule="auto"/>
      <w:ind w:left="720"/>
      <w:contextualSpacing/>
      <w:jc w:val="left"/>
    </w:pPr>
    <w:rPr>
      <w:rFonts w:eastAsiaTheme="minorHAnsi" w:cstheme="minorBidi"/>
      <w:sz w:val="24"/>
      <w:szCs w:val="22"/>
      <w:lang w:eastAsia="en-US"/>
    </w:rPr>
  </w:style>
  <w:style w:type="table" w:customStyle="1" w:styleId="Mriekatabuky3">
    <w:name w:val="Mriežka tabuľky3"/>
    <w:basedOn w:val="Normlnatabuka"/>
    <w:next w:val="Mriekatabuky"/>
    <w:uiPriority w:val="39"/>
    <w:rsid w:val="00B7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zovkapitoly">
    <w:name w:val="Názov kapitoly"/>
    <w:basedOn w:val="Normlny"/>
    <w:next w:val="Normlny"/>
    <w:link w:val="NzovkapitolyChar"/>
    <w:qFormat/>
    <w:rsid w:val="00B712B6"/>
    <w:pPr>
      <w:jc w:val="center"/>
    </w:pPr>
    <w:rPr>
      <w:b/>
      <w:sz w:val="28"/>
      <w:szCs w:val="28"/>
    </w:rPr>
  </w:style>
  <w:style w:type="character" w:customStyle="1" w:styleId="NzovkapitolyChar">
    <w:name w:val="Názov kapitoly Char"/>
    <w:basedOn w:val="Predvolenpsmoodseku"/>
    <w:link w:val="Nzovkapitoly"/>
    <w:rsid w:val="00B712B6"/>
    <w:rPr>
      <w:rFonts w:ascii="Times New Roman" w:eastAsia="Times New Roman" w:hAnsi="Times New Roman" w:cs="Times New Roman"/>
      <w:b/>
      <w:sz w:val="28"/>
      <w:szCs w:val="28"/>
      <w:lang w:eastAsia="sk-SK"/>
    </w:rPr>
  </w:style>
  <w:style w:type="paragraph" w:customStyle="1" w:styleId="Podnadpis">
    <w:name w:val="Podnadpis"/>
    <w:basedOn w:val="Normlny"/>
    <w:next w:val="Normlny"/>
    <w:link w:val="PodnadpisChar"/>
    <w:qFormat/>
    <w:rsid w:val="00B712B6"/>
    <w:pPr>
      <w:jc w:val="center"/>
    </w:pPr>
    <w:rPr>
      <w:rFonts w:eastAsiaTheme="minorHAnsi" w:cstheme="minorBidi"/>
      <w:b/>
      <w:sz w:val="24"/>
      <w:szCs w:val="24"/>
      <w:lang w:eastAsia="en-US"/>
    </w:rPr>
  </w:style>
  <w:style w:type="character" w:customStyle="1" w:styleId="PodnadpisChar">
    <w:name w:val="Podnadpis Char"/>
    <w:basedOn w:val="Predvolenpsmoodseku"/>
    <w:link w:val="Podnadpis"/>
    <w:rsid w:val="00B712B6"/>
    <w:rPr>
      <w:rFonts w:ascii="Times New Roman" w:hAnsi="Times New Roman"/>
      <w:b/>
      <w:sz w:val="24"/>
      <w:szCs w:val="24"/>
    </w:rPr>
  </w:style>
  <w:style w:type="paragraph" w:styleId="Obsah2">
    <w:name w:val="toc 2"/>
    <w:basedOn w:val="Normlny"/>
    <w:next w:val="Normlny"/>
    <w:autoRedefine/>
    <w:uiPriority w:val="39"/>
    <w:unhideWhenUsed/>
    <w:rsid w:val="00B712B6"/>
    <w:pPr>
      <w:spacing w:after="100"/>
      <w:ind w:left="200"/>
    </w:pPr>
  </w:style>
  <w:style w:type="character" w:styleId="Hypertextovprepojenie">
    <w:name w:val="Hyperlink"/>
    <w:basedOn w:val="Predvolenpsmoodseku"/>
    <w:uiPriority w:val="99"/>
    <w:unhideWhenUsed/>
    <w:rsid w:val="00B712B6"/>
    <w:rPr>
      <w:color w:val="0000FF" w:themeColor="hyperlink"/>
      <w:u w:val="single"/>
    </w:rPr>
  </w:style>
  <w:style w:type="paragraph" w:styleId="Obsah1">
    <w:name w:val="toc 1"/>
    <w:basedOn w:val="Normlny"/>
    <w:next w:val="Normlny"/>
    <w:autoRedefine/>
    <w:uiPriority w:val="39"/>
    <w:unhideWhenUsed/>
    <w:rsid w:val="00B712B6"/>
    <w:pPr>
      <w:tabs>
        <w:tab w:val="right" w:leader="dot" w:pos="9062"/>
      </w:tabs>
      <w:spacing w:after="100"/>
    </w:pPr>
    <w:rPr>
      <w:b/>
      <w:noProof/>
      <w:sz w:val="24"/>
    </w:rPr>
  </w:style>
  <w:style w:type="table" w:styleId="Mriekatabuky">
    <w:name w:val="Table Grid"/>
    <w:basedOn w:val="Normlnatabuka"/>
    <w:uiPriority w:val="39"/>
    <w:rsid w:val="00B71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B712B6"/>
    <w:rPr>
      <w:rFonts w:ascii="Tahoma" w:hAnsi="Tahoma" w:cs="Tahoma"/>
      <w:sz w:val="16"/>
      <w:szCs w:val="16"/>
    </w:rPr>
  </w:style>
  <w:style w:type="character" w:customStyle="1" w:styleId="TextbublinyChar">
    <w:name w:val="Text bubliny Char"/>
    <w:basedOn w:val="Predvolenpsmoodseku"/>
    <w:link w:val="Textbubliny"/>
    <w:uiPriority w:val="99"/>
    <w:semiHidden/>
    <w:rsid w:val="00B712B6"/>
    <w:rPr>
      <w:rFonts w:ascii="Tahoma" w:eastAsia="Times New Roman" w:hAnsi="Tahoma" w:cs="Tahoma"/>
      <w:sz w:val="16"/>
      <w:szCs w:val="16"/>
      <w:lang w:eastAsia="sk-SK"/>
    </w:rPr>
  </w:style>
  <w:style w:type="paragraph" w:styleId="Hlavika">
    <w:name w:val="header"/>
    <w:basedOn w:val="Normlny"/>
    <w:link w:val="HlavikaChar"/>
    <w:uiPriority w:val="99"/>
    <w:unhideWhenUsed/>
    <w:rsid w:val="00B712B6"/>
    <w:pPr>
      <w:tabs>
        <w:tab w:val="center" w:pos="4536"/>
        <w:tab w:val="right" w:pos="9072"/>
      </w:tabs>
    </w:pPr>
  </w:style>
  <w:style w:type="character" w:customStyle="1" w:styleId="HlavikaChar">
    <w:name w:val="Hlavička Char"/>
    <w:basedOn w:val="Predvolenpsmoodseku"/>
    <w:link w:val="Hlavika"/>
    <w:uiPriority w:val="99"/>
    <w:rsid w:val="00B712B6"/>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8C42CF"/>
    <w:rPr>
      <w:sz w:val="16"/>
      <w:szCs w:val="16"/>
    </w:rPr>
  </w:style>
  <w:style w:type="paragraph" w:styleId="Textkomentra">
    <w:name w:val="annotation text"/>
    <w:basedOn w:val="Normlny"/>
    <w:link w:val="TextkomentraChar"/>
    <w:uiPriority w:val="99"/>
    <w:semiHidden/>
    <w:unhideWhenUsed/>
    <w:rsid w:val="008C42CF"/>
  </w:style>
  <w:style w:type="character" w:customStyle="1" w:styleId="TextkomentraChar">
    <w:name w:val="Text komentára Char"/>
    <w:basedOn w:val="Predvolenpsmoodseku"/>
    <w:link w:val="Textkomentra"/>
    <w:uiPriority w:val="99"/>
    <w:semiHidden/>
    <w:rsid w:val="008C42C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C42CF"/>
    <w:rPr>
      <w:b/>
      <w:bCs/>
    </w:rPr>
  </w:style>
  <w:style w:type="character" w:customStyle="1" w:styleId="PredmetkomentraChar">
    <w:name w:val="Predmet komentára Char"/>
    <w:basedOn w:val="TextkomentraChar"/>
    <w:link w:val="Predmetkomentra"/>
    <w:uiPriority w:val="99"/>
    <w:semiHidden/>
    <w:rsid w:val="008C42CF"/>
    <w:rPr>
      <w:rFonts w:ascii="Times New Roman" w:eastAsia="Times New Roman" w:hAnsi="Times New Roman" w:cs="Times New Roman"/>
      <w:b/>
      <w:bCs/>
      <w:sz w:val="20"/>
      <w:szCs w:val="20"/>
      <w:lang w:eastAsia="sk-SK"/>
    </w:rPr>
  </w:style>
  <w:style w:type="character" w:customStyle="1" w:styleId="PodnadpisCharChar">
    <w:name w:val="Podnadpis Char Char"/>
    <w:basedOn w:val="Predvolenpsmoodseku"/>
    <w:rsid w:val="001253B5"/>
    <w:rPr>
      <w:rFonts w:ascii="Times New Roman" w:eastAsia="Calibri" w:hAnsi="Times New Roman" w:cs="Times New Roman"/>
      <w:b/>
      <w:sz w:val="24"/>
      <w:szCs w:val="24"/>
      <w:lang w:eastAsia="sk-SK"/>
    </w:rPr>
  </w:style>
  <w:style w:type="paragraph" w:styleId="Normlnywebov">
    <w:name w:val="Normal (Web)"/>
    <w:basedOn w:val="Normlny"/>
    <w:semiHidden/>
    <w:rsid w:val="001253B5"/>
    <w:pPr>
      <w:spacing w:before="100" w:beforeAutospacing="1" w:after="100" w:afterAutospacing="1"/>
      <w:jc w:val="left"/>
    </w:pPr>
    <w:rPr>
      <w:rFonts w:ascii="Arial Unicode MS" w:eastAsia="Arial Unicode MS" w:hAnsi="Arial Unicode MS" w:cs="Arial Unicode MS"/>
      <w:sz w:val="24"/>
      <w:szCs w:val="24"/>
      <w:lang w:val="cs-CZ" w:eastAsia="cs-CZ"/>
    </w:rPr>
  </w:style>
  <w:style w:type="table" w:customStyle="1" w:styleId="Mriekatabuky1">
    <w:name w:val="Mriežka tabuľky1"/>
    <w:basedOn w:val="Normlnatabuka"/>
    <w:next w:val="Mriekatabuky"/>
    <w:uiPriority w:val="39"/>
    <w:rsid w:val="00E22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autoRedefine/>
    <w:rsid w:val="00E222DA"/>
    <w:rPr>
      <w:rFonts w:ascii="Lucida Grande" w:eastAsia="ヒラギノ角ゴ Pro W3" w:hAnsi="Lucida Grande" w:cs="Times New Roman"/>
      <w:color w:val="000000"/>
      <w:szCs w:val="20"/>
      <w:lang w:eastAsia="sk-SK"/>
    </w:rPr>
  </w:style>
  <w:style w:type="character" w:customStyle="1" w:styleId="Hyperlink1">
    <w:name w:val="Hyperlink1"/>
    <w:rsid w:val="00E222DA"/>
    <w:rPr>
      <w:color w:val="0028F9"/>
      <w:sz w:val="22"/>
      <w:u w:val="single"/>
    </w:rPr>
  </w:style>
  <w:style w:type="paragraph" w:customStyle="1" w:styleId="Mriekatabuky2">
    <w:name w:val="Mriežka tabuľky2"/>
    <w:rsid w:val="00E222DA"/>
    <w:pPr>
      <w:spacing w:after="0" w:line="240" w:lineRule="auto"/>
    </w:pPr>
    <w:rPr>
      <w:rFonts w:ascii="Lucida Grande" w:eastAsia="ヒラギノ角ゴ Pro W3" w:hAnsi="Lucida Grande" w:cs="Times New Roman"/>
      <w:color w:val="00000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fiu.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jfpnoo@minv.sk"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mailto:sjfpsek@minv.sk" TargetMode="External"/><Relationship Id="rId28" Type="http://schemas.microsoft.com/office/2011/relationships/commentsExtended" Target="commentsExtended.xml"/><Relationship Id="rId10" Type="http://schemas.microsoft.com/office/2007/relationships/hdphoto" Target="media/hdphoto1.wdp"/><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www.minv.sk/?financna-policia"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Internet\Desktop\NOO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Pracovn__h_rok_programu_Microsoft_Excel1.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Internet\Desktop\KPO.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Pracovn__h_rok_programu_Microsoft_Excel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Pracovn__h_rok_programu_Microsoft_Excel3.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Pracovn__h_rok_programu_Microsoft_Excel4.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Pracovn__h_rok_programu_Microsoft_Excel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741337701914776E-2"/>
          <c:y val="9.2394924849640431E-2"/>
          <c:w val="0.60905987422713093"/>
          <c:h val="0.77784094252792391"/>
        </c:manualLayout>
      </c:layout>
      <c:pie3DChart>
        <c:varyColors val="1"/>
        <c:ser>
          <c:idx val="0"/>
          <c:order val="0"/>
          <c:spPr>
            <a:ln w="3175">
              <a:solidFill>
                <a:sysClr val="windowText" lastClr="000000"/>
              </a:solidFill>
            </a:ln>
          </c:spPr>
          <c:dPt>
            <c:idx val="0"/>
            <c:bubble3D val="0"/>
            <c:spPr>
              <a:solidFill>
                <a:srgbClr val="00B0F0"/>
              </a:solidFill>
              <a:ln w="3175">
                <a:solidFill>
                  <a:sysClr val="windowText" lastClr="000000"/>
                </a:solidFill>
              </a:ln>
              <a:effectLst/>
              <a:sp3d contourW="25400">
                <a:contourClr>
                  <a:schemeClr val="lt1"/>
                </a:contourClr>
              </a:sp3d>
            </c:spPr>
          </c:dPt>
          <c:dPt>
            <c:idx val="1"/>
            <c:bubble3D val="0"/>
            <c:spPr>
              <a:solidFill>
                <a:srgbClr val="FF0000"/>
              </a:solidFill>
              <a:ln w="3175">
                <a:solidFill>
                  <a:sysClr val="windowText" lastClr="000000"/>
                </a:solidFill>
              </a:ln>
              <a:effectLst/>
              <a:sp3d contourW="25400">
                <a:contourClr>
                  <a:schemeClr val="lt1"/>
                </a:contourClr>
              </a:sp3d>
            </c:spPr>
          </c:dPt>
          <c:dPt>
            <c:idx val="2"/>
            <c:bubble3D val="0"/>
            <c:spPr>
              <a:solidFill>
                <a:srgbClr val="FFFF00"/>
              </a:solidFill>
              <a:ln w="3175">
                <a:solidFill>
                  <a:sysClr val="windowText" lastClr="000000"/>
                </a:solidFill>
              </a:ln>
              <a:effectLst/>
              <a:sp3d contourW="25400">
                <a:contourClr>
                  <a:schemeClr val="lt1"/>
                </a:contourClr>
              </a:sp3d>
            </c:spPr>
          </c:dPt>
          <c:dLbls>
            <c:spPr>
              <a:noFill/>
              <a:ln>
                <a:noFill/>
              </a:ln>
              <a:effectLst/>
            </c:spPr>
            <c:txPr>
              <a:bodyPr/>
              <a:lstStyle/>
              <a:p>
                <a:pPr>
                  <a:defRPr sz="1050" b="0">
                    <a:latin typeface="+mn-lt"/>
                    <a:cs typeface="Aharoni" panose="02010803020104030203" pitchFamily="2" charset="-79"/>
                  </a:defRPr>
                </a:pPr>
                <a:endParaRPr lang="sk-SK"/>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Hárok1!$A$1:$A$3</c:f>
              <c:strCache>
                <c:ptCount val="3"/>
                <c:pt idx="0">
                  <c:v>Banky </c:v>
                </c:pt>
                <c:pt idx="1">
                  <c:v>Ostatné finančné inštitúcie</c:v>
                </c:pt>
                <c:pt idx="2">
                  <c:v>Nefinančné subjekty </c:v>
                </c:pt>
              </c:strCache>
            </c:strRef>
          </c:cat>
          <c:val>
            <c:numRef>
              <c:f>Hárok1!$B$1:$B$3</c:f>
              <c:numCache>
                <c:formatCode>General</c:formatCode>
                <c:ptCount val="3"/>
                <c:pt idx="0">
                  <c:v>3378</c:v>
                </c:pt>
                <c:pt idx="1">
                  <c:v>395</c:v>
                </c:pt>
                <c:pt idx="2">
                  <c:v>155</c:v>
                </c:pt>
              </c:numCache>
            </c:numRef>
          </c:val>
        </c:ser>
        <c:dLbls>
          <c:dLblPos val="inEnd"/>
          <c:showLegendKey val="0"/>
          <c:showVal val="1"/>
          <c:showCatName val="0"/>
          <c:showSerName val="0"/>
          <c:showPercent val="0"/>
          <c:showBubbleSize val="0"/>
          <c:showLeaderLines val="1"/>
        </c:dLbls>
      </c:pie3DChart>
      <c:spPr>
        <a:noFill/>
        <a:ln>
          <a:noFill/>
        </a:ln>
        <a:effectLst/>
      </c:spPr>
    </c:plotArea>
    <c:legend>
      <c:legendPos val="r"/>
      <c:legendEntry>
        <c:idx val="0"/>
        <c:txPr>
          <a:bodyPr rot="0" vert="horz"/>
          <a:lstStyle/>
          <a:p>
            <a:pPr>
              <a:defRPr/>
            </a:pPr>
            <a:endParaRPr lang="sk-SK"/>
          </a:p>
        </c:txPr>
      </c:legendEntry>
      <c:layout>
        <c:manualLayout>
          <c:xMode val="edge"/>
          <c:yMode val="edge"/>
          <c:x val="0.70453680706019128"/>
          <c:y val="0.14639254734413804"/>
          <c:w val="0.28204037414786237"/>
          <c:h val="0.77447947930275529"/>
        </c:manualLayout>
      </c:layout>
      <c:overlay val="0"/>
      <c:txPr>
        <a:bodyPr rot="0" vert="horz"/>
        <a:lstStyle/>
        <a:p>
          <a:pPr>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c:spPr>
          <c:invertIfNegative val="0"/>
          <c:dPt>
            <c:idx val="0"/>
            <c:invertIfNegative val="0"/>
            <c:bubble3D val="0"/>
            <c:spPr>
              <a:solidFill>
                <a:srgbClr val="FF0000"/>
              </a:solidFill>
              <a:ln>
                <a:solidFill>
                  <a:schemeClr val="tx1"/>
                </a:solidFill>
              </a:ln>
              <a:effectLst/>
            </c:spPr>
          </c:dPt>
          <c:dPt>
            <c:idx val="1"/>
            <c:invertIfNegative val="0"/>
            <c:bubble3D val="0"/>
            <c:spPr>
              <a:solidFill>
                <a:srgbClr val="002060"/>
              </a:solidFill>
              <a:ln>
                <a:solidFill>
                  <a:schemeClr val="tx1"/>
                </a:solidFill>
              </a:ln>
              <a:effectLst/>
            </c:spPr>
          </c:dPt>
          <c:dPt>
            <c:idx val="2"/>
            <c:invertIfNegative val="0"/>
            <c:bubble3D val="0"/>
            <c:spPr>
              <a:solidFill>
                <a:srgbClr val="FFFF00"/>
              </a:solidFill>
              <a:ln>
                <a:solidFill>
                  <a:schemeClr val="tx1"/>
                </a:solidFill>
              </a:ln>
              <a:effectLst/>
            </c:spPr>
          </c:dPt>
          <c:dPt>
            <c:idx val="3"/>
            <c:invertIfNegative val="0"/>
            <c:bubble3D val="0"/>
            <c:spPr>
              <a:solidFill>
                <a:srgbClr val="7030A0"/>
              </a:solidFill>
              <a:ln>
                <a:solidFill>
                  <a:schemeClr val="tx1"/>
                </a:solidFill>
              </a:ln>
              <a:effectLst/>
            </c:spPr>
          </c:dPt>
          <c:dPt>
            <c:idx val="4"/>
            <c:invertIfNegative val="0"/>
            <c:bubble3D val="0"/>
            <c:spPr>
              <a:solidFill>
                <a:srgbClr val="92D050"/>
              </a:solidFill>
              <a:ln>
                <a:solidFill>
                  <a:schemeClr val="tx1"/>
                </a:solidFill>
              </a:ln>
              <a:effectLst/>
            </c:spPr>
          </c:dPt>
          <c:dPt>
            <c:idx val="5"/>
            <c:invertIfNegative val="0"/>
            <c:bubble3D val="0"/>
            <c:spPr>
              <a:solidFill>
                <a:srgbClr val="00B0F0"/>
              </a:solidFill>
              <a:ln>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Hárok1!$A$1:$A$6</c:f>
              <c:numCache>
                <c:formatCode>General</c:formatCode>
                <c:ptCount val="6"/>
                <c:pt idx="0">
                  <c:v>2009</c:v>
                </c:pt>
                <c:pt idx="1">
                  <c:v>2010</c:v>
                </c:pt>
                <c:pt idx="2">
                  <c:v>2011</c:v>
                </c:pt>
                <c:pt idx="3">
                  <c:v>2012</c:v>
                </c:pt>
                <c:pt idx="4">
                  <c:v>2013</c:v>
                </c:pt>
                <c:pt idx="5">
                  <c:v>2014</c:v>
                </c:pt>
              </c:numCache>
            </c:numRef>
          </c:cat>
          <c:val>
            <c:numRef>
              <c:f>Hárok1!$B$1:$B$6</c:f>
              <c:numCache>
                <c:formatCode>General</c:formatCode>
                <c:ptCount val="6"/>
                <c:pt idx="0">
                  <c:v>2686</c:v>
                </c:pt>
                <c:pt idx="1">
                  <c:v>2470</c:v>
                </c:pt>
                <c:pt idx="2">
                  <c:v>2982</c:v>
                </c:pt>
                <c:pt idx="3">
                  <c:v>3650</c:v>
                </c:pt>
                <c:pt idx="4">
                  <c:v>3886</c:v>
                </c:pt>
                <c:pt idx="5">
                  <c:v>3928</c:v>
                </c:pt>
              </c:numCache>
            </c:numRef>
          </c:val>
        </c:ser>
        <c:dLbls>
          <c:dLblPos val="outEnd"/>
          <c:showLegendKey val="0"/>
          <c:showVal val="1"/>
          <c:showCatName val="0"/>
          <c:showSerName val="0"/>
          <c:showPercent val="0"/>
          <c:showBubbleSize val="0"/>
        </c:dLbls>
        <c:gapWidth val="100"/>
        <c:overlap val="-24"/>
        <c:axId val="96620544"/>
        <c:axId val="96633984"/>
      </c:barChart>
      <c:catAx>
        <c:axId val="9662054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crossAx val="96633984"/>
        <c:crosses val="autoZero"/>
        <c:auto val="1"/>
        <c:lblAlgn val="ctr"/>
        <c:lblOffset val="100"/>
        <c:noMultiLvlLbl val="0"/>
      </c:catAx>
      <c:valAx>
        <c:axId val="966339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crossAx val="9662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solidFill>
                <a:sysClr val="windowText" lastClr="000000"/>
              </a:solidFill>
            </a:ln>
          </c:spPr>
          <c:dPt>
            <c:idx val="0"/>
            <c:bubble3D val="0"/>
            <c:explosion val="9"/>
            <c:spPr>
              <a:solidFill>
                <a:srgbClr val="00B0F0"/>
              </a:solidFill>
              <a:ln>
                <a:solidFill>
                  <a:sysClr val="windowText" lastClr="000000"/>
                </a:solidFill>
              </a:ln>
              <a:effectLst>
                <a:outerShdw blurRad="254000" sx="102000" sy="102000" algn="ctr" rotWithShape="0">
                  <a:prstClr val="black">
                    <a:alpha val="20000"/>
                  </a:prstClr>
                </a:outerShdw>
              </a:effectLst>
              <a:sp3d/>
            </c:spPr>
          </c:dPt>
          <c:dPt>
            <c:idx val="1"/>
            <c:bubble3D val="0"/>
            <c:explosion val="15"/>
            <c:spPr>
              <a:solidFill>
                <a:srgbClr val="FF0000"/>
              </a:solidFill>
              <a:ln>
                <a:solidFill>
                  <a:sysClr val="windowText" lastClr="000000"/>
                </a:solidFill>
              </a:ln>
              <a:effectLst>
                <a:outerShdw blurRad="254000" sx="102000" sy="102000" algn="ctr" rotWithShape="0">
                  <a:prstClr val="black">
                    <a:alpha val="20000"/>
                  </a:prstClr>
                </a:outerShdw>
              </a:effectLst>
              <a:sp3d/>
            </c:spPr>
          </c:dPt>
          <c:dPt>
            <c:idx val="2"/>
            <c:bubble3D val="0"/>
            <c:explosion val="8"/>
            <c:spPr>
              <a:solidFill>
                <a:srgbClr val="FFFF00"/>
              </a:solidFill>
              <a:ln>
                <a:solidFill>
                  <a:sysClr val="windowText" lastClr="000000"/>
                </a:solid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Hárok1!$A$1:$A$3</c:f>
              <c:strCache>
                <c:ptCount val="3"/>
                <c:pt idx="0">
                  <c:v>Banky </c:v>
                </c:pt>
                <c:pt idx="1">
                  <c:v>Finančné inštitúcie</c:v>
                </c:pt>
                <c:pt idx="2">
                  <c:v>Nefinančné inštitúcie </c:v>
                </c:pt>
              </c:strCache>
            </c:strRef>
          </c:cat>
          <c:val>
            <c:numRef>
              <c:f>Hárok1!$B$1:$B$3</c:f>
              <c:numCache>
                <c:formatCode>General</c:formatCode>
                <c:ptCount val="3"/>
                <c:pt idx="0">
                  <c:v>1</c:v>
                </c:pt>
                <c:pt idx="1">
                  <c:v>10</c:v>
                </c:pt>
                <c:pt idx="2">
                  <c:v>11</c:v>
                </c:pt>
              </c:numCache>
            </c:numRef>
          </c:val>
        </c:ser>
        <c:dLbls>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gradFill flip="none" rotWithShape="1">
      <a:gsLst>
        <a:gs pos="0">
          <a:srgbClr val="4472C4">
            <a:lumMod val="40000"/>
            <a:lumOff val="60000"/>
          </a:srgbClr>
        </a:gs>
        <a:gs pos="46000">
          <a:srgbClr val="ED7D31">
            <a:lumMod val="40000"/>
            <a:lumOff val="60000"/>
          </a:srgbClr>
        </a:gs>
        <a:gs pos="100000">
          <a:srgbClr val="ED7D31">
            <a:lumMod val="20000"/>
            <a:lumOff val="80000"/>
          </a:srgbClr>
        </a:gs>
      </a:gsLst>
      <a:path path="circle">
        <a:fillToRect l="100000" t="100000"/>
      </a:path>
      <a:tileRect r="-100000" b="-100000"/>
    </a:gradFill>
    <a:ln w="9525" cap="flat" cmpd="sng" algn="ctr">
      <a:solidFill>
        <a:schemeClr val="dk1">
          <a:lumMod val="25000"/>
          <a:lumOff val="75000"/>
        </a:schemeClr>
      </a:solidFill>
      <a:round/>
    </a:ln>
    <a:effectLst/>
  </c:spPr>
  <c:txPr>
    <a:bodyPr/>
    <a:lstStyle/>
    <a:p>
      <a:pPr>
        <a:defRPr/>
      </a:pPr>
      <a:endParaRPr lang="sk-SK"/>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375289372014335E-2"/>
          <c:y val="4.3539292882507331E-2"/>
          <c:w val="0.90762470577650334"/>
          <c:h val="0.69020503319438142"/>
        </c:manualLayout>
      </c:layout>
      <c:barChart>
        <c:barDir val="col"/>
        <c:grouping val="clustered"/>
        <c:varyColors val="0"/>
        <c:ser>
          <c:idx val="0"/>
          <c:order val="0"/>
          <c:tx>
            <c:strRef>
              <c:f>Hárok1!$B$1</c:f>
              <c:strCache>
                <c:ptCount val="1"/>
                <c:pt idx="0">
                  <c:v>2013</c:v>
                </c:pt>
              </c:strCache>
            </c:strRef>
          </c:tx>
          <c:spPr>
            <a:solidFill>
              <a:srgbClr val="00B050"/>
            </a:solidFill>
          </c:spPr>
          <c:invertIfNegative val="0"/>
          <c:dPt>
            <c:idx val="0"/>
            <c:invertIfNegative val="0"/>
            <c:bubble3D val="0"/>
            <c:spPr>
              <a:solidFill>
                <a:srgbClr val="FFFF00"/>
              </a:solidFill>
              <a:ln w="12695">
                <a:solidFill>
                  <a:schemeClr val="tx1"/>
                </a:solidFill>
              </a:ln>
            </c:spPr>
          </c:dPt>
          <c:dPt>
            <c:idx val="1"/>
            <c:invertIfNegative val="0"/>
            <c:bubble3D val="0"/>
            <c:spPr>
              <a:solidFill>
                <a:srgbClr val="FF0000"/>
              </a:solidFill>
              <a:ln w="12695">
                <a:solidFill>
                  <a:schemeClr val="tx1"/>
                </a:solidFill>
              </a:ln>
            </c:spPr>
          </c:dPt>
          <c:dPt>
            <c:idx val="2"/>
            <c:invertIfNegative val="0"/>
            <c:bubble3D val="0"/>
            <c:spPr>
              <a:solidFill>
                <a:srgbClr val="00B0F0"/>
              </a:solidFill>
              <a:ln w="12695">
                <a:solidFill>
                  <a:schemeClr val="tx1"/>
                </a:solidFill>
              </a:ln>
            </c:spPr>
          </c:dPt>
          <c:dPt>
            <c:idx val="3"/>
            <c:invertIfNegative val="0"/>
            <c:bubble3D val="0"/>
            <c:spPr>
              <a:solidFill>
                <a:srgbClr val="7030A0"/>
              </a:solidFill>
              <a:ln w="12695">
                <a:solidFill>
                  <a:schemeClr val="tx1"/>
                </a:solidFill>
              </a:ln>
            </c:spPr>
          </c:dPt>
          <c:dPt>
            <c:idx val="4"/>
            <c:invertIfNegative val="0"/>
            <c:bubble3D val="0"/>
            <c:spPr>
              <a:solidFill>
                <a:schemeClr val="accent6"/>
              </a:solidFill>
              <a:ln w="12695">
                <a:solidFill>
                  <a:schemeClr val="tx1"/>
                </a:solidFill>
              </a:ln>
            </c:spPr>
          </c:dPt>
          <c:dPt>
            <c:idx val="5"/>
            <c:invertIfNegative val="0"/>
            <c:bubble3D val="0"/>
            <c:spPr>
              <a:solidFill>
                <a:schemeClr val="accent3">
                  <a:lumMod val="75000"/>
                </a:schemeClr>
              </a:solidFill>
              <a:ln w="12695">
                <a:solidFill>
                  <a:schemeClr val="tx1"/>
                </a:solidFill>
              </a:ln>
            </c:spPr>
          </c:dPt>
          <c:dPt>
            <c:idx val="6"/>
            <c:invertIfNegative val="0"/>
            <c:bubble3D val="0"/>
            <c:spPr>
              <a:solidFill>
                <a:schemeClr val="accent2">
                  <a:lumMod val="75000"/>
                </a:schemeClr>
              </a:solidFill>
              <a:ln w="12695">
                <a:solidFill>
                  <a:schemeClr val="tx1"/>
                </a:solidFill>
              </a:ln>
            </c:spPr>
          </c:dPt>
          <c:dPt>
            <c:idx val="7"/>
            <c:invertIfNegative val="0"/>
            <c:bubble3D val="0"/>
            <c:spPr>
              <a:solidFill>
                <a:schemeClr val="tx2">
                  <a:lumMod val="60000"/>
                  <a:lumOff val="40000"/>
                </a:schemeClr>
              </a:solidFill>
              <a:ln w="12695">
                <a:solidFill>
                  <a:schemeClr val="tx1"/>
                </a:solidFill>
              </a:ln>
            </c:spPr>
          </c:dPt>
          <c:dPt>
            <c:idx val="8"/>
            <c:invertIfNegative val="0"/>
            <c:bubble3D val="0"/>
            <c:spPr>
              <a:solidFill>
                <a:srgbClr val="24EEF8"/>
              </a:solidFill>
              <a:ln w="12695">
                <a:solidFill>
                  <a:schemeClr val="tx1"/>
                </a:solidFill>
              </a:ln>
            </c:spPr>
          </c:dPt>
          <c:dPt>
            <c:idx val="9"/>
            <c:invertIfNegative val="0"/>
            <c:bubble3D val="0"/>
            <c:spPr>
              <a:solidFill>
                <a:srgbClr val="E109A3"/>
              </a:solidFill>
              <a:ln w="12695">
                <a:solidFill>
                  <a:schemeClr val="tx1"/>
                </a:solidFill>
              </a:ln>
            </c:spPr>
          </c:dPt>
          <c:dLbls>
            <c:spPr>
              <a:noFill/>
              <a:ln w="2539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Hárok1!$A$2:$A$11</c:f>
              <c:strCache>
                <c:ptCount val="10"/>
                <c:pt idx="0">
                  <c:v>Czech Republic</c:v>
                </c:pt>
                <c:pt idx="1">
                  <c:v>Hungary</c:v>
                </c:pt>
                <c:pt idx="2">
                  <c:v>Poland</c:v>
                </c:pt>
                <c:pt idx="3">
                  <c:v>Italy</c:v>
                </c:pt>
                <c:pt idx="4">
                  <c:v>Latvia</c:v>
                </c:pt>
                <c:pt idx="5">
                  <c:v>Germany</c:v>
                </c:pt>
                <c:pt idx="6">
                  <c:v>USA</c:v>
                </c:pt>
                <c:pt idx="7">
                  <c:v>France</c:v>
                </c:pt>
                <c:pt idx="8">
                  <c:v>Austria</c:v>
                </c:pt>
                <c:pt idx="9">
                  <c:v>Croatia</c:v>
                </c:pt>
              </c:strCache>
            </c:strRef>
          </c:cat>
          <c:val>
            <c:numRef>
              <c:f>Hárok1!$B$2:$B$11</c:f>
              <c:numCache>
                <c:formatCode>General</c:formatCode>
                <c:ptCount val="10"/>
                <c:pt idx="0">
                  <c:v>78</c:v>
                </c:pt>
                <c:pt idx="1">
                  <c:v>75</c:v>
                </c:pt>
                <c:pt idx="2">
                  <c:v>12</c:v>
                </c:pt>
                <c:pt idx="3">
                  <c:v>10</c:v>
                </c:pt>
                <c:pt idx="4">
                  <c:v>9</c:v>
                </c:pt>
                <c:pt idx="5">
                  <c:v>8</c:v>
                </c:pt>
                <c:pt idx="6">
                  <c:v>8</c:v>
                </c:pt>
                <c:pt idx="7">
                  <c:v>8</c:v>
                </c:pt>
                <c:pt idx="8">
                  <c:v>7</c:v>
                </c:pt>
                <c:pt idx="9">
                  <c:v>6</c:v>
                </c:pt>
              </c:numCache>
            </c:numRef>
          </c:val>
        </c:ser>
        <c:dLbls>
          <c:showLegendKey val="0"/>
          <c:showVal val="0"/>
          <c:showCatName val="0"/>
          <c:showSerName val="0"/>
          <c:showPercent val="0"/>
          <c:showBubbleSize val="0"/>
        </c:dLbls>
        <c:gapWidth val="150"/>
        <c:axId val="262771072"/>
        <c:axId val="262772608"/>
      </c:barChart>
      <c:catAx>
        <c:axId val="262771072"/>
        <c:scaling>
          <c:orientation val="minMax"/>
        </c:scaling>
        <c:delete val="0"/>
        <c:axPos val="b"/>
        <c:numFmt formatCode="General" sourceLinked="1"/>
        <c:majorTickMark val="out"/>
        <c:minorTickMark val="none"/>
        <c:tickLblPos val="nextTo"/>
        <c:txPr>
          <a:bodyPr rot="-2820000" vert="horz"/>
          <a:lstStyle/>
          <a:p>
            <a:pPr>
              <a:defRPr b="1"/>
            </a:pPr>
            <a:endParaRPr lang="sk-SK"/>
          </a:p>
        </c:txPr>
        <c:crossAx val="262772608"/>
        <c:crosses val="autoZero"/>
        <c:auto val="1"/>
        <c:lblAlgn val="ctr"/>
        <c:lblOffset val="100"/>
        <c:noMultiLvlLbl val="0"/>
      </c:catAx>
      <c:valAx>
        <c:axId val="262772608"/>
        <c:scaling>
          <c:orientation val="minMax"/>
        </c:scaling>
        <c:delete val="0"/>
        <c:axPos val="l"/>
        <c:majorGridlines/>
        <c:numFmt formatCode="General" sourceLinked="1"/>
        <c:majorTickMark val="out"/>
        <c:minorTickMark val="none"/>
        <c:tickLblPos val="nextTo"/>
        <c:crossAx val="262771072"/>
        <c:crosses val="autoZero"/>
        <c:crossBetween val="between"/>
      </c:valAx>
      <c:spPr>
        <a:noFill/>
        <a:ln w="25390">
          <a:noFill/>
        </a:ln>
      </c:spPr>
    </c:plotArea>
    <c:plotVisOnly val="1"/>
    <c:dispBlanksAs val="gap"/>
    <c:showDLblsOverMax val="0"/>
  </c:chart>
  <c:spPr>
    <a:gradFill>
      <a:gsLst>
        <a:gs pos="0">
          <a:srgbClr val="4472C4">
            <a:lumMod val="40000"/>
            <a:lumOff val="60000"/>
          </a:srgbClr>
        </a:gs>
        <a:gs pos="46000">
          <a:srgbClr val="ED7D31">
            <a:lumMod val="40000"/>
            <a:lumOff val="60000"/>
          </a:srgbClr>
        </a:gs>
        <a:gs pos="100000">
          <a:srgbClr val="ED7D31">
            <a:lumMod val="20000"/>
            <a:lumOff val="80000"/>
          </a:srgbClr>
        </a:gs>
      </a:gsLst>
      <a:path path="circle">
        <a:fillToRect l="100000" t="100000"/>
      </a:path>
    </a:gradFill>
    <a:ln w="25390">
      <a:solidFill>
        <a:schemeClr val="bg1">
          <a:lumMod val="50000"/>
        </a:schemeClr>
      </a:solidFill>
    </a:ln>
  </c:spPr>
  <c:txPr>
    <a:bodyPr/>
    <a:lstStyle/>
    <a:p>
      <a:pPr>
        <a:defRPr i="0"/>
      </a:pPr>
      <a:endParaRPr lang="sk-S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121101482426427E-2"/>
          <c:y val="6.3445577295733233E-2"/>
          <c:w val="0.9079645638888727"/>
          <c:h val="0.68199278712320055"/>
        </c:manualLayout>
      </c:layout>
      <c:barChart>
        <c:barDir val="col"/>
        <c:grouping val="clustered"/>
        <c:varyColors val="0"/>
        <c:ser>
          <c:idx val="0"/>
          <c:order val="0"/>
          <c:tx>
            <c:strRef>
              <c:f>Hárok1!$B$1</c:f>
              <c:strCache>
                <c:ptCount val="1"/>
                <c:pt idx="0">
                  <c:v>2013</c:v>
                </c:pt>
              </c:strCache>
            </c:strRef>
          </c:tx>
          <c:spPr>
            <a:solidFill>
              <a:srgbClr val="00B050"/>
            </a:solidFill>
          </c:spPr>
          <c:invertIfNegative val="0"/>
          <c:dPt>
            <c:idx val="0"/>
            <c:invertIfNegative val="0"/>
            <c:bubble3D val="0"/>
            <c:spPr>
              <a:solidFill>
                <a:schemeClr val="accent2">
                  <a:lumMod val="75000"/>
                </a:schemeClr>
              </a:solidFill>
              <a:ln w="12698">
                <a:solidFill>
                  <a:schemeClr val="tx1"/>
                </a:solidFill>
              </a:ln>
            </c:spPr>
          </c:dPt>
          <c:dPt>
            <c:idx val="1"/>
            <c:invertIfNegative val="0"/>
            <c:bubble3D val="0"/>
            <c:spPr>
              <a:solidFill>
                <a:schemeClr val="accent6">
                  <a:lumMod val="75000"/>
                </a:schemeClr>
              </a:solidFill>
              <a:ln w="12698">
                <a:solidFill>
                  <a:schemeClr val="tx1"/>
                </a:solidFill>
              </a:ln>
            </c:spPr>
          </c:dPt>
          <c:dPt>
            <c:idx val="2"/>
            <c:invertIfNegative val="0"/>
            <c:bubble3D val="0"/>
            <c:spPr>
              <a:solidFill>
                <a:schemeClr val="bg2">
                  <a:lumMod val="25000"/>
                </a:schemeClr>
              </a:solidFill>
              <a:ln w="12698">
                <a:solidFill>
                  <a:schemeClr val="tx1"/>
                </a:solidFill>
              </a:ln>
            </c:spPr>
          </c:dPt>
          <c:dPt>
            <c:idx val="3"/>
            <c:invertIfNegative val="0"/>
            <c:bubble3D val="0"/>
            <c:spPr>
              <a:solidFill>
                <a:schemeClr val="accent5">
                  <a:lumMod val="75000"/>
                </a:schemeClr>
              </a:solidFill>
              <a:ln w="12698">
                <a:solidFill>
                  <a:schemeClr val="tx1"/>
                </a:solidFill>
              </a:ln>
            </c:spPr>
          </c:dPt>
          <c:dPt>
            <c:idx val="4"/>
            <c:invertIfNegative val="0"/>
            <c:bubble3D val="0"/>
            <c:spPr>
              <a:solidFill>
                <a:srgbClr val="00B050"/>
              </a:solidFill>
              <a:ln w="12698">
                <a:solidFill>
                  <a:schemeClr val="tx1"/>
                </a:solidFill>
              </a:ln>
            </c:spPr>
          </c:dPt>
          <c:dPt>
            <c:idx val="5"/>
            <c:invertIfNegative val="0"/>
            <c:bubble3D val="0"/>
            <c:spPr>
              <a:solidFill>
                <a:schemeClr val="accent1">
                  <a:lumMod val="60000"/>
                  <a:lumOff val="40000"/>
                </a:schemeClr>
              </a:solidFill>
              <a:ln w="12698">
                <a:solidFill>
                  <a:schemeClr val="tx1"/>
                </a:solidFill>
              </a:ln>
            </c:spPr>
          </c:dPt>
          <c:dPt>
            <c:idx val="6"/>
            <c:invertIfNegative val="0"/>
            <c:bubble3D val="0"/>
            <c:spPr>
              <a:solidFill>
                <a:srgbClr val="CFC10F"/>
              </a:solidFill>
              <a:ln w="12698">
                <a:solidFill>
                  <a:schemeClr val="tx1"/>
                </a:solidFill>
              </a:ln>
            </c:spPr>
          </c:dPt>
          <c:dPt>
            <c:idx val="7"/>
            <c:invertIfNegative val="0"/>
            <c:bubble3D val="0"/>
            <c:spPr>
              <a:solidFill>
                <a:schemeClr val="accent6"/>
              </a:solidFill>
              <a:ln w="12698">
                <a:solidFill>
                  <a:schemeClr val="tx1"/>
                </a:solidFill>
              </a:ln>
            </c:spPr>
          </c:dPt>
          <c:dPt>
            <c:idx val="8"/>
            <c:invertIfNegative val="0"/>
            <c:bubble3D val="0"/>
            <c:spPr>
              <a:solidFill>
                <a:srgbClr val="FF0000"/>
              </a:solidFill>
              <a:ln w="12698">
                <a:solidFill>
                  <a:schemeClr val="tx1"/>
                </a:solidFill>
              </a:ln>
            </c:spPr>
          </c:dPt>
          <c:dPt>
            <c:idx val="9"/>
            <c:invertIfNegative val="0"/>
            <c:bubble3D val="0"/>
            <c:spPr>
              <a:solidFill>
                <a:schemeClr val="accent3">
                  <a:lumMod val="75000"/>
                </a:schemeClr>
              </a:solidFill>
              <a:ln w="12698">
                <a:solidFill>
                  <a:schemeClr val="tx1"/>
                </a:solidFill>
              </a:ln>
            </c:spPr>
          </c:dPt>
          <c:dLbls>
            <c:spPr>
              <a:noFill/>
              <a:ln w="25397">
                <a:noFill/>
              </a:ln>
            </c:spPr>
            <c:txPr>
              <a:bodyPr/>
              <a:lstStyle/>
              <a:p>
                <a:pPr>
                  <a:defRPr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Hárok1!$A$2:$A$11</c:f>
              <c:strCache>
                <c:ptCount val="10"/>
                <c:pt idx="0">
                  <c:v>Germany</c:v>
                </c:pt>
                <c:pt idx="1">
                  <c:v>Czech Republic</c:v>
                </c:pt>
                <c:pt idx="2">
                  <c:v>Hungary</c:v>
                </c:pt>
                <c:pt idx="3">
                  <c:v>France</c:v>
                </c:pt>
                <c:pt idx="4">
                  <c:v>Poland</c:v>
                </c:pt>
                <c:pt idx="5">
                  <c:v>Great Britain</c:v>
                </c:pt>
                <c:pt idx="6">
                  <c:v>Spain</c:v>
                </c:pt>
                <c:pt idx="7">
                  <c:v>USA</c:v>
                </c:pt>
                <c:pt idx="8">
                  <c:v>Bulgaria</c:v>
                </c:pt>
                <c:pt idx="9">
                  <c:v>Italy</c:v>
                </c:pt>
              </c:strCache>
            </c:strRef>
          </c:cat>
          <c:val>
            <c:numRef>
              <c:f>Hárok1!$B$2:$B$11</c:f>
              <c:numCache>
                <c:formatCode>General</c:formatCode>
                <c:ptCount val="10"/>
                <c:pt idx="0">
                  <c:v>177</c:v>
                </c:pt>
                <c:pt idx="1">
                  <c:v>26</c:v>
                </c:pt>
                <c:pt idx="2">
                  <c:v>14</c:v>
                </c:pt>
                <c:pt idx="3">
                  <c:v>12</c:v>
                </c:pt>
                <c:pt idx="4">
                  <c:v>11</c:v>
                </c:pt>
                <c:pt idx="5">
                  <c:v>10</c:v>
                </c:pt>
                <c:pt idx="6">
                  <c:v>7</c:v>
                </c:pt>
                <c:pt idx="7">
                  <c:v>7</c:v>
                </c:pt>
                <c:pt idx="8">
                  <c:v>6</c:v>
                </c:pt>
                <c:pt idx="9">
                  <c:v>6</c:v>
                </c:pt>
              </c:numCache>
            </c:numRef>
          </c:val>
        </c:ser>
        <c:dLbls>
          <c:showLegendKey val="0"/>
          <c:showVal val="0"/>
          <c:showCatName val="0"/>
          <c:showSerName val="0"/>
          <c:showPercent val="0"/>
          <c:showBubbleSize val="0"/>
        </c:dLbls>
        <c:gapWidth val="150"/>
        <c:axId val="261449216"/>
        <c:axId val="261450752"/>
      </c:barChart>
      <c:catAx>
        <c:axId val="261449216"/>
        <c:scaling>
          <c:orientation val="minMax"/>
        </c:scaling>
        <c:delete val="0"/>
        <c:axPos val="b"/>
        <c:numFmt formatCode="General" sourceLinked="1"/>
        <c:majorTickMark val="out"/>
        <c:minorTickMark val="none"/>
        <c:tickLblPos val="nextTo"/>
        <c:txPr>
          <a:bodyPr rot="-2580000"/>
          <a:lstStyle/>
          <a:p>
            <a:pPr>
              <a:defRPr sz="900" b="1"/>
            </a:pPr>
            <a:endParaRPr lang="sk-SK"/>
          </a:p>
        </c:txPr>
        <c:crossAx val="261450752"/>
        <c:crosses val="autoZero"/>
        <c:auto val="1"/>
        <c:lblAlgn val="ctr"/>
        <c:lblOffset val="100"/>
        <c:noMultiLvlLbl val="0"/>
      </c:catAx>
      <c:valAx>
        <c:axId val="261450752"/>
        <c:scaling>
          <c:orientation val="minMax"/>
        </c:scaling>
        <c:delete val="0"/>
        <c:axPos val="l"/>
        <c:majorGridlines/>
        <c:numFmt formatCode="General" sourceLinked="1"/>
        <c:majorTickMark val="out"/>
        <c:minorTickMark val="none"/>
        <c:tickLblPos val="nextTo"/>
        <c:crossAx val="261449216"/>
        <c:crosses val="autoZero"/>
        <c:crossBetween val="between"/>
      </c:valAx>
      <c:spPr>
        <a:noFill/>
        <a:ln w="25397">
          <a:noFill/>
        </a:ln>
      </c:spPr>
    </c:plotArea>
    <c:plotVisOnly val="1"/>
    <c:dispBlanksAs val="gap"/>
    <c:showDLblsOverMax val="0"/>
  </c:chart>
  <c:spPr>
    <a:gradFill>
      <a:gsLst>
        <a:gs pos="0">
          <a:srgbClr val="4472C4">
            <a:lumMod val="40000"/>
            <a:lumOff val="60000"/>
          </a:srgbClr>
        </a:gs>
        <a:gs pos="46000">
          <a:srgbClr val="ED7D31">
            <a:lumMod val="40000"/>
            <a:lumOff val="60000"/>
          </a:srgbClr>
        </a:gs>
        <a:gs pos="100000">
          <a:srgbClr val="ED7D31">
            <a:lumMod val="20000"/>
            <a:lumOff val="80000"/>
          </a:srgbClr>
        </a:gs>
      </a:gsLst>
      <a:path path="circle">
        <a:fillToRect l="100000" t="100000"/>
      </a:path>
    </a:gradFill>
    <a:ln w="25397">
      <a:solidFill>
        <a:schemeClr val="bg1">
          <a:lumMod val="50000"/>
        </a:schemeClr>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689661441688984E-2"/>
          <c:y val="6.3858127637188303E-2"/>
          <c:w val="0.91435038579745009"/>
          <c:h val="0.69958113455114834"/>
        </c:manualLayout>
      </c:layout>
      <c:barChart>
        <c:barDir val="col"/>
        <c:grouping val="clustered"/>
        <c:varyColors val="0"/>
        <c:ser>
          <c:idx val="0"/>
          <c:order val="0"/>
          <c:tx>
            <c:strRef>
              <c:f>Hárok1!$B$1</c:f>
              <c:strCache>
                <c:ptCount val="1"/>
                <c:pt idx="0">
                  <c:v>2014</c:v>
                </c:pt>
              </c:strCache>
            </c:strRef>
          </c:tx>
          <c:spPr>
            <a:solidFill>
              <a:srgbClr val="00B050"/>
            </a:solidFill>
          </c:spPr>
          <c:invertIfNegative val="0"/>
          <c:dPt>
            <c:idx val="0"/>
            <c:invertIfNegative val="0"/>
            <c:bubble3D val="0"/>
            <c:spPr>
              <a:solidFill>
                <a:schemeClr val="accent5">
                  <a:lumMod val="75000"/>
                </a:schemeClr>
              </a:solidFill>
              <a:ln w="12561">
                <a:solidFill>
                  <a:schemeClr val="tx1"/>
                </a:solidFill>
              </a:ln>
            </c:spPr>
          </c:dPt>
          <c:dPt>
            <c:idx val="1"/>
            <c:invertIfNegative val="0"/>
            <c:bubble3D val="0"/>
            <c:spPr>
              <a:solidFill>
                <a:schemeClr val="accent6">
                  <a:lumMod val="75000"/>
                </a:schemeClr>
              </a:solidFill>
              <a:ln w="12561">
                <a:solidFill>
                  <a:schemeClr val="tx1"/>
                </a:solidFill>
              </a:ln>
            </c:spPr>
          </c:dPt>
          <c:dPt>
            <c:idx val="2"/>
            <c:invertIfNegative val="0"/>
            <c:bubble3D val="0"/>
            <c:spPr>
              <a:solidFill>
                <a:srgbClr val="E109A3"/>
              </a:solidFill>
              <a:ln w="12561">
                <a:solidFill>
                  <a:schemeClr val="tx1"/>
                </a:solidFill>
              </a:ln>
            </c:spPr>
          </c:dPt>
          <c:dPt>
            <c:idx val="3"/>
            <c:invertIfNegative val="0"/>
            <c:bubble3D val="0"/>
            <c:spPr>
              <a:solidFill>
                <a:srgbClr val="00B050"/>
              </a:solidFill>
              <a:ln w="12561">
                <a:solidFill>
                  <a:schemeClr val="tx1"/>
                </a:solidFill>
              </a:ln>
            </c:spPr>
          </c:dPt>
          <c:dPt>
            <c:idx val="4"/>
            <c:invertIfNegative val="0"/>
            <c:bubble3D val="0"/>
            <c:spPr>
              <a:solidFill>
                <a:srgbClr val="FFFF00"/>
              </a:solidFill>
              <a:ln w="12561">
                <a:solidFill>
                  <a:schemeClr val="tx1"/>
                </a:solidFill>
              </a:ln>
            </c:spPr>
          </c:dPt>
          <c:dPt>
            <c:idx val="5"/>
            <c:invertIfNegative val="0"/>
            <c:bubble3D val="0"/>
            <c:spPr>
              <a:solidFill>
                <a:schemeClr val="tx1">
                  <a:lumMod val="50000"/>
                  <a:lumOff val="50000"/>
                </a:schemeClr>
              </a:solidFill>
              <a:ln w="12561">
                <a:solidFill>
                  <a:schemeClr val="tx1"/>
                </a:solidFill>
              </a:ln>
            </c:spPr>
          </c:dPt>
          <c:dPt>
            <c:idx val="6"/>
            <c:invertIfNegative val="0"/>
            <c:bubble3D val="0"/>
            <c:spPr>
              <a:solidFill>
                <a:srgbClr val="FF0000"/>
              </a:solidFill>
              <a:ln w="12561">
                <a:solidFill>
                  <a:schemeClr val="tx1"/>
                </a:solidFill>
              </a:ln>
            </c:spPr>
          </c:dPt>
          <c:dPt>
            <c:idx val="7"/>
            <c:invertIfNegative val="0"/>
            <c:bubble3D val="0"/>
            <c:spPr>
              <a:solidFill>
                <a:schemeClr val="accent2">
                  <a:lumMod val="75000"/>
                </a:schemeClr>
              </a:solidFill>
              <a:ln w="12561">
                <a:solidFill>
                  <a:schemeClr val="tx1"/>
                </a:solidFill>
              </a:ln>
            </c:spPr>
          </c:dPt>
          <c:dPt>
            <c:idx val="8"/>
            <c:invertIfNegative val="0"/>
            <c:bubble3D val="0"/>
            <c:spPr>
              <a:solidFill>
                <a:schemeClr val="tx2">
                  <a:lumMod val="60000"/>
                  <a:lumOff val="40000"/>
                </a:schemeClr>
              </a:solidFill>
              <a:ln w="12561">
                <a:solidFill>
                  <a:schemeClr val="tx1"/>
                </a:solidFill>
              </a:ln>
            </c:spPr>
          </c:dPt>
          <c:dLbls>
            <c:spPr>
              <a:noFill/>
              <a:ln w="25121">
                <a:noFill/>
              </a:ln>
            </c:spPr>
            <c:txPr>
              <a:bodyPr/>
              <a:lstStyle/>
              <a:p>
                <a:pPr>
                  <a:defRPr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Hárok1!$A$2:$A$11</c:f>
              <c:strCache>
                <c:ptCount val="10"/>
                <c:pt idx="0">
                  <c:v>Hungary</c:v>
                </c:pt>
                <c:pt idx="1">
                  <c:v>Czech Republic</c:v>
                </c:pt>
                <c:pt idx="2">
                  <c:v>Poland</c:v>
                </c:pt>
                <c:pt idx="3">
                  <c:v>Italy</c:v>
                </c:pt>
                <c:pt idx="4">
                  <c:v>Ukraine</c:v>
                </c:pt>
                <c:pt idx="5">
                  <c:v>Romania</c:v>
                </c:pt>
                <c:pt idx="6">
                  <c:v>Germany</c:v>
                </c:pt>
                <c:pt idx="7">
                  <c:v>Great Britain</c:v>
                </c:pt>
                <c:pt idx="8">
                  <c:v>Russia</c:v>
                </c:pt>
                <c:pt idx="9">
                  <c:v>Bulgaria</c:v>
                </c:pt>
              </c:strCache>
            </c:strRef>
          </c:cat>
          <c:val>
            <c:numRef>
              <c:f>Hárok1!$B$2:$B$11</c:f>
              <c:numCache>
                <c:formatCode>General</c:formatCode>
                <c:ptCount val="10"/>
                <c:pt idx="0">
                  <c:v>187</c:v>
                </c:pt>
                <c:pt idx="1">
                  <c:v>112</c:v>
                </c:pt>
                <c:pt idx="2">
                  <c:v>18</c:v>
                </c:pt>
                <c:pt idx="3">
                  <c:v>10</c:v>
                </c:pt>
                <c:pt idx="4">
                  <c:v>10</c:v>
                </c:pt>
                <c:pt idx="5">
                  <c:v>8</c:v>
                </c:pt>
                <c:pt idx="6">
                  <c:v>8</c:v>
                </c:pt>
                <c:pt idx="7">
                  <c:v>8</c:v>
                </c:pt>
                <c:pt idx="8">
                  <c:v>8</c:v>
                </c:pt>
                <c:pt idx="9">
                  <c:v>7</c:v>
                </c:pt>
              </c:numCache>
            </c:numRef>
          </c:val>
        </c:ser>
        <c:dLbls>
          <c:showLegendKey val="0"/>
          <c:showVal val="0"/>
          <c:showCatName val="0"/>
          <c:showSerName val="0"/>
          <c:showPercent val="0"/>
          <c:showBubbleSize val="0"/>
        </c:dLbls>
        <c:gapWidth val="150"/>
        <c:axId val="265992448"/>
        <c:axId val="266002432"/>
      </c:barChart>
      <c:catAx>
        <c:axId val="265992448"/>
        <c:scaling>
          <c:orientation val="minMax"/>
        </c:scaling>
        <c:delete val="0"/>
        <c:axPos val="b"/>
        <c:numFmt formatCode="General" sourceLinked="1"/>
        <c:majorTickMark val="out"/>
        <c:minorTickMark val="none"/>
        <c:tickLblPos val="nextTo"/>
        <c:txPr>
          <a:bodyPr rot="-2820000"/>
          <a:lstStyle/>
          <a:p>
            <a:pPr>
              <a:defRPr sz="1000" b="1"/>
            </a:pPr>
            <a:endParaRPr lang="sk-SK"/>
          </a:p>
        </c:txPr>
        <c:crossAx val="266002432"/>
        <c:crosses val="autoZero"/>
        <c:auto val="1"/>
        <c:lblAlgn val="ctr"/>
        <c:lblOffset val="100"/>
        <c:noMultiLvlLbl val="0"/>
      </c:catAx>
      <c:valAx>
        <c:axId val="266002432"/>
        <c:scaling>
          <c:orientation val="minMax"/>
        </c:scaling>
        <c:delete val="0"/>
        <c:axPos val="l"/>
        <c:majorGridlines/>
        <c:numFmt formatCode="General" sourceLinked="1"/>
        <c:majorTickMark val="out"/>
        <c:minorTickMark val="none"/>
        <c:tickLblPos val="nextTo"/>
        <c:crossAx val="265992448"/>
        <c:crosses val="autoZero"/>
        <c:crossBetween val="between"/>
      </c:valAx>
      <c:spPr>
        <a:noFill/>
        <a:ln w="25121">
          <a:noFill/>
        </a:ln>
      </c:spPr>
    </c:plotArea>
    <c:plotVisOnly val="1"/>
    <c:dispBlanksAs val="gap"/>
    <c:showDLblsOverMax val="0"/>
  </c:chart>
  <c:spPr>
    <a:gradFill>
      <a:gsLst>
        <a:gs pos="0">
          <a:srgbClr val="4472C4">
            <a:lumMod val="40000"/>
            <a:lumOff val="60000"/>
          </a:srgbClr>
        </a:gs>
        <a:gs pos="46000">
          <a:srgbClr val="ED7D31">
            <a:lumMod val="40000"/>
            <a:lumOff val="60000"/>
          </a:srgbClr>
        </a:gs>
        <a:gs pos="100000">
          <a:srgbClr val="ED7D31">
            <a:lumMod val="20000"/>
            <a:lumOff val="80000"/>
          </a:srgbClr>
        </a:gs>
      </a:gsLst>
      <a:path path="circle">
        <a:fillToRect l="100000" t="100000"/>
      </a:path>
    </a:gradFill>
    <a:ln w="25121">
      <a:solidFill>
        <a:schemeClr val="bg1">
          <a:lumMod val="50000"/>
        </a:schemeClr>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42625400991544"/>
          <c:y val="0.11806555430571179"/>
          <c:w val="0.80665242504456491"/>
          <c:h val="0.78252312210973629"/>
        </c:manualLayout>
      </c:layout>
      <c:barChart>
        <c:barDir val="col"/>
        <c:grouping val="clustered"/>
        <c:varyColors val="0"/>
        <c:ser>
          <c:idx val="0"/>
          <c:order val="0"/>
          <c:tx>
            <c:strRef>
              <c:f>Hárok1!$B$1</c:f>
              <c:strCache>
                <c:ptCount val="1"/>
                <c:pt idx="0">
                  <c:v>VÝŠKA PREPRAVOVANÝCH PEŇAŽNÝCH PROSTRIEDKOV</c:v>
                </c:pt>
              </c:strCache>
            </c:strRef>
          </c:tx>
          <c:spPr>
            <a:solidFill>
              <a:srgbClr val="FFFF00"/>
            </a:solidFill>
            <a:ln>
              <a:solidFill>
                <a:schemeClr val="tx1"/>
              </a:solidFill>
            </a:ln>
          </c:spPr>
          <c:invertIfNegative val="0"/>
          <c:dPt>
            <c:idx val="0"/>
            <c:invertIfNegative val="0"/>
            <c:bubble3D val="0"/>
            <c:spPr>
              <a:solidFill>
                <a:srgbClr val="FF0000"/>
              </a:solidFill>
              <a:ln>
                <a:solidFill>
                  <a:schemeClr val="tx1"/>
                </a:solidFill>
              </a:ln>
            </c:spPr>
          </c:dPt>
          <c:dPt>
            <c:idx val="1"/>
            <c:invertIfNegative val="0"/>
            <c:bubble3D val="0"/>
            <c:spPr>
              <a:solidFill>
                <a:srgbClr val="00B0F0"/>
              </a:solidFill>
              <a:ln>
                <a:solidFill>
                  <a:schemeClr val="tx1"/>
                </a:solidFill>
              </a:ln>
            </c:spPr>
          </c:dPt>
          <c:dPt>
            <c:idx val="3"/>
            <c:invertIfNegative val="0"/>
            <c:bubble3D val="0"/>
            <c:spPr>
              <a:solidFill>
                <a:srgbClr val="B80EA4"/>
              </a:solidFill>
              <a:ln>
                <a:solidFill>
                  <a:schemeClr val="tx1"/>
                </a:solidFill>
              </a:ln>
            </c:spPr>
          </c:dPt>
          <c:dPt>
            <c:idx val="4"/>
            <c:invertIfNegative val="0"/>
            <c:bubble3D val="0"/>
            <c:spPr>
              <a:solidFill>
                <a:srgbClr val="92D050"/>
              </a:solidFill>
              <a:ln>
                <a:solidFill>
                  <a:schemeClr val="tx1"/>
                </a:solidFill>
              </a:ln>
            </c:spPr>
          </c:dPt>
          <c:dLbls>
            <c:spPr>
              <a:noFill/>
              <a:ln w="19041">
                <a:noFill/>
              </a:ln>
            </c:spPr>
            <c:txPr>
              <a:bodyPr/>
              <a:lstStyle/>
              <a:p>
                <a:pPr>
                  <a:defRPr sz="900" b="1">
                    <a:solidFill>
                      <a:sysClr val="windowText" lastClr="000000"/>
                    </a:solidFil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Hárok1!$A$2:$A$7</c:f>
              <c:numCache>
                <c:formatCode>General</c:formatCode>
                <c:ptCount val="6"/>
                <c:pt idx="0">
                  <c:v>2009</c:v>
                </c:pt>
                <c:pt idx="1">
                  <c:v>2010</c:v>
                </c:pt>
                <c:pt idx="2">
                  <c:v>2011</c:v>
                </c:pt>
                <c:pt idx="3">
                  <c:v>2012</c:v>
                </c:pt>
                <c:pt idx="4">
                  <c:v>2013</c:v>
                </c:pt>
                <c:pt idx="5">
                  <c:v>2014</c:v>
                </c:pt>
              </c:numCache>
            </c:numRef>
          </c:cat>
          <c:val>
            <c:numRef>
              <c:f>Hárok1!$B$2:$B$7</c:f>
              <c:numCache>
                <c:formatCode>General</c:formatCode>
                <c:ptCount val="6"/>
                <c:pt idx="0">
                  <c:v>125400</c:v>
                </c:pt>
                <c:pt idx="1">
                  <c:v>1241178</c:v>
                </c:pt>
                <c:pt idx="2">
                  <c:v>312637</c:v>
                </c:pt>
                <c:pt idx="3">
                  <c:v>1649419.38</c:v>
                </c:pt>
                <c:pt idx="4">
                  <c:v>1422131.86</c:v>
                </c:pt>
                <c:pt idx="5">
                  <c:v>1764189.93</c:v>
                </c:pt>
              </c:numCache>
            </c:numRef>
          </c:val>
        </c:ser>
        <c:dLbls>
          <c:showLegendKey val="0"/>
          <c:showVal val="0"/>
          <c:showCatName val="0"/>
          <c:showSerName val="0"/>
          <c:showPercent val="0"/>
          <c:showBubbleSize val="0"/>
        </c:dLbls>
        <c:gapWidth val="150"/>
        <c:axId val="265770112"/>
        <c:axId val="265771648"/>
      </c:barChart>
      <c:catAx>
        <c:axId val="265770112"/>
        <c:scaling>
          <c:orientation val="minMax"/>
        </c:scaling>
        <c:delete val="0"/>
        <c:axPos val="b"/>
        <c:numFmt formatCode="General" sourceLinked="1"/>
        <c:majorTickMark val="out"/>
        <c:minorTickMark val="none"/>
        <c:tickLblPos val="nextTo"/>
        <c:txPr>
          <a:bodyPr/>
          <a:lstStyle/>
          <a:p>
            <a:pPr>
              <a:defRPr b="1"/>
            </a:pPr>
            <a:endParaRPr lang="sk-SK"/>
          </a:p>
        </c:txPr>
        <c:crossAx val="265771648"/>
        <c:crosses val="autoZero"/>
        <c:auto val="1"/>
        <c:lblAlgn val="ctr"/>
        <c:lblOffset val="100"/>
        <c:noMultiLvlLbl val="0"/>
      </c:catAx>
      <c:valAx>
        <c:axId val="265771648"/>
        <c:scaling>
          <c:orientation val="minMax"/>
        </c:scaling>
        <c:delete val="0"/>
        <c:axPos val="l"/>
        <c:majorGridlines/>
        <c:numFmt formatCode="General" sourceLinked="1"/>
        <c:majorTickMark val="out"/>
        <c:minorTickMark val="none"/>
        <c:tickLblPos val="nextTo"/>
        <c:crossAx val="265770112"/>
        <c:crosses val="autoZero"/>
        <c:crossBetween val="between"/>
      </c:valAx>
      <c:spPr>
        <a:noFill/>
        <a:ln w="19041">
          <a:noFill/>
        </a:ln>
      </c:spPr>
    </c:plotArea>
    <c:plotVisOnly val="1"/>
    <c:dispBlanksAs val="gap"/>
    <c:showDLblsOverMax val="0"/>
  </c:chart>
  <c:spPr>
    <a:noFill/>
    <a:ln w="19041">
      <a:solidFill>
        <a:schemeClr val="bg1">
          <a:lumMod val="95000"/>
        </a:schemeClr>
      </a:solidFill>
    </a:ln>
    <a:effectLst/>
    <a:scene3d>
      <a:camera prst="orthographicFront"/>
      <a:lightRig rig="threePt" dir="t"/>
    </a:scene3d>
    <a:sp3d prstMaterial="matte"/>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0.74836</cdr:x>
      <cdr:y>0.03297</cdr:y>
    </cdr:from>
    <cdr:to>
      <cdr:x>0.9847</cdr:x>
      <cdr:y>0.27472</cdr:y>
    </cdr:to>
    <cdr:sp macro="" textlink="">
      <cdr:nvSpPr>
        <cdr:cNvPr id="2" name="Blok textu 1"/>
        <cdr:cNvSpPr txBox="1"/>
      </cdr:nvSpPr>
      <cdr:spPr>
        <a:xfrm xmlns:a="http://schemas.openxmlformats.org/drawingml/2006/main">
          <a:off x="4277802" y="95415"/>
          <a:ext cx="1351004" cy="699715"/>
        </a:xfrm>
        <a:prstGeom xmlns:a="http://schemas.openxmlformats.org/drawingml/2006/main" prst="rect">
          <a:avLst/>
        </a:prstGeom>
        <a:solidFill xmlns:a="http://schemas.openxmlformats.org/drawingml/2006/main">
          <a:schemeClr val="accent2">
            <a:lumMod val="20000"/>
            <a:lumOff val="80000"/>
          </a:schemeClr>
        </a:solidFill>
      </cdr:spPr>
      <cdr:txBody>
        <a:bodyPr xmlns:a="http://schemas.openxmlformats.org/drawingml/2006/main" vertOverflow="clip" wrap="square" lIns="180000" tIns="0" rIns="0" bIns="0" rtlCol="0"/>
        <a:lstStyle xmlns:a="http://schemas.openxmlformats.org/drawingml/2006/main"/>
        <a:p xmlns:a="http://schemas.openxmlformats.org/drawingml/2006/main">
          <a:r>
            <a:rPr lang="sk-SK" sz="900"/>
            <a:t>Banks</a:t>
          </a:r>
        </a:p>
        <a:p xmlns:a="http://schemas.openxmlformats.org/drawingml/2006/main">
          <a:endParaRPr lang="sk-SK" sz="900"/>
        </a:p>
        <a:p xmlns:a="http://schemas.openxmlformats.org/drawingml/2006/main">
          <a:r>
            <a:rPr lang="sk-SK" sz="900"/>
            <a:t>Financial institutions</a:t>
          </a:r>
        </a:p>
        <a:p xmlns:a="http://schemas.openxmlformats.org/drawingml/2006/main">
          <a:endParaRPr lang="sk-SK" sz="900"/>
        </a:p>
        <a:p xmlns:a="http://schemas.openxmlformats.org/drawingml/2006/main">
          <a:r>
            <a:rPr lang="sk-SK" sz="900"/>
            <a:t>Non-financial institutions</a:t>
          </a:r>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F1BF3-7E95-498C-8B99-2F498081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11978</Words>
  <Characters>68277</Characters>
  <Application>Microsoft Office Word</Application>
  <DocSecurity>0</DocSecurity>
  <Lines>568</Lines>
  <Paragraphs>160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80095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Hrádek</dc:creator>
  <cp:lastModifiedBy>Zuzana Hozáková</cp:lastModifiedBy>
  <cp:revision>11</cp:revision>
  <cp:lastPrinted>2015-07-15T12:20:00Z</cp:lastPrinted>
  <dcterms:created xsi:type="dcterms:W3CDTF">2015-06-10T19:10:00Z</dcterms:created>
  <dcterms:modified xsi:type="dcterms:W3CDTF">2015-07-16T08:20:00Z</dcterms:modified>
</cp:coreProperties>
</file>